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>
      <w:pPr>
        <w:pStyle w:val="a7"/>
        <w:rPr>
          <w:rFonts w:ascii="新細明體" w:hAnsi="新細明體"/>
          <w:color w:val="FF6600"/>
        </w:rPr>
      </w:pPr>
    </w:p>
    <w:p w:rsidR="00161123" w:rsidRDefault="006B23B6">
      <w:pPr>
        <w:pStyle w:val="a7"/>
        <w:rPr>
          <w:rFonts w:ascii="新細明體" w:hAnsi="新細明體"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6350" t="12065" r="13335" b="508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FC" w:rsidRPr="00DA75FC" w:rsidRDefault="00DA75FC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mjPQIAAFUEAAAOAAAAZHJzL2Uyb0RvYy54bWysVF1uEzEQfkfiDpbfyeaXtqtsqpIShFR+&#10;pMIBvF5v1sL2GNvJbrgAEgcozxyAA3Cg9hyMvWmICrwg9sHyeMafZ75vZufnnVZkK5yXYAo6Ggwp&#10;EYZDJc26oO/frZ6cUuIDMxVTYERBd8LT88XjR/PW5mIMDahKOIIgxuetLWgTgs2zzPNGaOYHYIVB&#10;Zw1Os4CmW2eVYy2ia5WNh8OnWQuusg648B5PL3snXST8uhY8vKlrLwJRBcXcQlpdWsu4Zos5y9eO&#10;2UbyfRrsH7LQTBp89AB1yQIjGyd/g9KSO/BQhwEHnUFdSy5SDVjNaPigmuuGWZFqQXK8PdDk/x8s&#10;f71964isULspJYZp1Oju5vPt9693Nz9uv30h40hRa32OkdcWY0P3DDoMT+V6ewX8gycGlg0za3Hh&#10;HLSNYBWmOIo3s6OrPY6PIGX7Cip8im0CJKCudjryh4wQREepdgd5RBcIx0PU+2w0RRdH3+RkMjlN&#10;+mUsv79tnQ8vBGgSNwV1KH9CZ9srH2I2LL8PiY95ULJaSaWS4dblUjmyZdgqq/SlAh6EKUPagp7N&#10;xrOegL9CDNP3JwgtA/a8krqgp4cglkfanpsqdWRgUvV7TFmZPY+Rup7E0JXdXpcSqh0y6qDvbZxF&#10;3DTgPlHSYl8X1H/cMCcoUS8NqoIMRgpDMqazkzEa7thTHnuY4QhV0EBJv12Gfng21sl1gy/1fWDg&#10;ApWsZSI5St5ntc8bezdxv5+zOBzHdor69TdY/AQAAP//AwBQSwMEFAAGAAgAAAAhANHgNVXfAAAA&#10;CQEAAA8AAABkcnMvZG93bnJldi54bWxMj8FOwzAMhu9IvENkJC5oS9d2ZZSmE0ICsRtsCK5Z47UV&#10;iVOSrCtvT3aCmy3/+vz91Xoymo3ofG9JwGKeAENqrOqpFfC+e5qtgPkgSUltCQX8oId1fXlRyVLZ&#10;E73huA0tixDypRTQhTCUnPumQyP93A5I8XawzsgQV9dy5eQpwo3maZIU3Mie4odODvjYYfO1PRoB&#10;q/xl/PSb7PWjKQ76Ltzcjs/fTojrq+nhHljAKfyF4awf1aGOTnt7JOWZFpCl+SJGBaTLJbAYKPIk&#10;DvszPQNeV/x/g/oXAAD//wMAUEsBAi0AFAAGAAgAAAAhALaDOJL+AAAA4QEAABMAAAAAAAAAAAAA&#10;AAAAAAAAAFtDb250ZW50X1R5cGVzXS54bWxQSwECLQAUAAYACAAAACEAOP0h/9YAAACUAQAACwAA&#10;AAAAAAAAAAAAAAAvAQAAX3JlbHMvLnJlbHNQSwECLQAUAAYACAAAACEAdDwpoz0CAABVBAAADgAA&#10;AAAAAAAAAAAAAAAuAgAAZHJzL2Uyb0RvYy54bWxQSwECLQAUAAYACAAAACEA0eA1Vd8AAAAJAQAA&#10;DwAAAAAAAAAAAAAAAACXBAAAZHJzL2Rvd25yZXYueG1sUEsFBgAAAAAEAAQA8wAAAKMFAAAAAA==&#10;">
                <v:textbox>
                  <w:txbxContent>
                    <w:p w:rsidR="00DA75FC" w:rsidRPr="00DA75FC" w:rsidRDefault="00DA75FC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noProof/>
          <w:color w:val="FF6600"/>
        </w:rPr>
        <w:drawing>
          <wp:inline distT="0" distB="0" distL="0" distR="0">
            <wp:extent cx="6116955" cy="706120"/>
            <wp:effectExtent l="0" t="0" r="0" b="0"/>
            <wp:docPr id="2" name="圖片 2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Pr="009373D0" w:rsidRDefault="00161123">
      <w:pPr>
        <w:rPr>
          <w:rFonts w:ascii="標楷體" w:eastAsia="標楷體" w:hAnsi="標楷體"/>
          <w:b/>
          <w:bCs/>
          <w:color w:val="0000FF"/>
          <w:szCs w:val="20"/>
        </w:rPr>
      </w:pPr>
      <w:r w:rsidRPr="009373D0">
        <w:rPr>
          <w:rFonts w:ascii="標楷體" w:eastAsia="標楷體" w:hAnsi="標楷體"/>
          <w:b/>
          <w:bCs/>
          <w:color w:val="0000FF"/>
          <w:szCs w:val="20"/>
        </w:rPr>
        <w:t>以</w:t>
      </w:r>
      <w:r w:rsidRPr="009373D0">
        <w:rPr>
          <w:rFonts w:ascii="標楷體" w:eastAsia="標楷體" w:hAnsi="標楷體" w:hint="eastAsia"/>
          <w:b/>
          <w:bCs/>
          <w:color w:val="0000FF"/>
          <w:szCs w:val="20"/>
        </w:rPr>
        <w:t>下</w:t>
      </w:r>
      <w:r w:rsidRPr="009373D0">
        <w:rPr>
          <w:rFonts w:ascii="標楷體" w:eastAsia="標楷體" w:hAnsi="標楷體"/>
          <w:b/>
          <w:bCs/>
          <w:color w:val="0000FF"/>
          <w:szCs w:val="20"/>
        </w:rPr>
        <w:t>資料由</w:t>
      </w:r>
      <w:proofErr w:type="gramStart"/>
      <w:r w:rsidR="009373D0">
        <w:rPr>
          <w:rFonts w:ascii="標楷體" w:eastAsia="標楷體" w:hAnsi="標楷體" w:hint="eastAsia"/>
          <w:b/>
          <w:bCs/>
          <w:color w:val="0000FF"/>
          <w:szCs w:val="20"/>
        </w:rPr>
        <w:t>醫</w:t>
      </w:r>
      <w:proofErr w:type="gramEnd"/>
      <w:r w:rsidR="009373D0">
        <w:rPr>
          <w:rFonts w:ascii="標楷體" w:eastAsia="標楷體" w:hAnsi="標楷體" w:hint="eastAsia"/>
          <w:b/>
          <w:bCs/>
          <w:color w:val="0000FF"/>
          <w:szCs w:val="20"/>
        </w:rPr>
        <w:t>揚科技股份有限</w:t>
      </w:r>
      <w:r w:rsidRPr="009373D0">
        <w:rPr>
          <w:rFonts w:ascii="標楷體" w:eastAsia="標楷體" w:hAnsi="標楷體"/>
          <w:b/>
          <w:bCs/>
          <w:color w:val="0000FF"/>
          <w:szCs w:val="20"/>
        </w:rPr>
        <w:t>公司</w:t>
      </w:r>
      <w:r w:rsidR="00BF2B97"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 w:rsidRPr="009373D0">
        <w:rPr>
          <w:rFonts w:ascii="標楷體" w:eastAsia="標楷體" w:hAnsi="標楷體" w:hint="eastAsia"/>
          <w:b/>
          <w:bCs/>
          <w:color w:val="0000FF"/>
          <w:szCs w:val="20"/>
        </w:rPr>
        <w:t>提供</w:t>
      </w:r>
      <w:r w:rsidRPr="009373D0">
        <w:rPr>
          <w:rFonts w:ascii="標楷體" w:eastAsia="標楷體" w:hAnsi="標楷體"/>
          <w:b/>
          <w:bCs/>
          <w:color w:val="0000FF"/>
          <w:szCs w:val="20"/>
        </w:rPr>
        <w:t>，資料若有錯誤、遺漏或虛偽不實，</w:t>
      </w:r>
      <w:proofErr w:type="gramStart"/>
      <w:r w:rsidRPr="009373D0">
        <w:rPr>
          <w:rFonts w:ascii="標楷體" w:eastAsia="標楷體" w:hAnsi="標楷體"/>
          <w:b/>
          <w:bCs/>
          <w:color w:val="0000FF"/>
          <w:szCs w:val="20"/>
        </w:rPr>
        <w:t>均由該</w:t>
      </w:r>
      <w:proofErr w:type="gramEnd"/>
      <w:r w:rsidRPr="009373D0">
        <w:rPr>
          <w:rFonts w:ascii="標楷體" w:eastAsia="標楷體" w:hAnsi="標楷體"/>
          <w:b/>
          <w:bCs/>
          <w:color w:val="0000FF"/>
          <w:szCs w:val="20"/>
        </w:rPr>
        <w:t>公司</w:t>
      </w:r>
      <w:r w:rsidR="00BF2B97"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Pr="009373D0">
        <w:rPr>
          <w:rFonts w:ascii="標楷體" w:eastAsia="標楷體" w:hAnsi="標楷體"/>
          <w:b/>
          <w:bCs/>
          <w:color w:val="0000FF"/>
          <w:szCs w:val="20"/>
        </w:rPr>
        <w:t>負責。</w:t>
      </w:r>
    </w:p>
    <w:p w:rsidR="00F97EB6" w:rsidRPr="009373D0" w:rsidRDefault="00F97EB6">
      <w:pPr>
        <w:rPr>
          <w:rFonts w:ascii="標楷體" w:eastAsia="標楷體" w:hAnsi="標楷體"/>
          <w:b/>
          <w:bCs/>
          <w:color w:val="FF0000"/>
          <w:szCs w:val="20"/>
          <w:u w:val="single"/>
          <w:shd w:val="pct15" w:color="auto" w:fill="FFFFFF"/>
        </w:rPr>
      </w:pPr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</w:t>
      </w:r>
      <w:proofErr w:type="gramStart"/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登錄興櫃公司</w:t>
      </w:r>
      <w:proofErr w:type="gramEnd"/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與其推薦證券商依認購當時綜合考量各種因素後所議定。</w:t>
      </w:r>
      <w:proofErr w:type="gramStart"/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由於興櫃公司</w:t>
      </w:r>
      <w:proofErr w:type="gramEnd"/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財務業務狀況及資本市場將隨時空而變動，投資人切勿以上開資訊作為投資判斷之唯一依據，</w:t>
      </w:r>
      <w:proofErr w:type="gramStart"/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務</w:t>
      </w:r>
      <w:proofErr w:type="gramEnd"/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請特別</w:t>
      </w:r>
      <w:r w:rsidR="00A277D2"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9373D0">
        <w:rPr>
          <w:rFonts w:ascii="標楷體" w:eastAsia="標楷體" w:hAnsi="標楷體"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Pr="009373D0" w:rsidRDefault="006B23B6">
      <w:pPr>
        <w:tabs>
          <w:tab w:val="left" w:pos="1125"/>
        </w:tabs>
        <w:rPr>
          <w:rFonts w:ascii="標楷體" w:eastAsia="標楷體" w:hAnsi="標楷體"/>
          <w:b/>
          <w:bCs/>
          <w:color w:val="FF6600"/>
          <w:sz w:val="20"/>
          <w:szCs w:val="20"/>
        </w:rPr>
      </w:pPr>
      <w:r>
        <w:rPr>
          <w:rFonts w:ascii="標楷體" w:eastAsia="標楷體" w:hAnsi="標楷體" w:hint="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0" r="3810" b="63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123" w:rsidRDefault="00161123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0;margin-top:13.85pt;width:480.75pt;height:97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HoiwIAABkFAAAOAAAAZHJzL2Uyb0RvYy54bWysVG1v2yAQ/j5p/wHxPfVL7TS26lRNM0+T&#10;uhep3Q8ggGM0GxiQ2N20/74DJ1nWbdI0zR8wcMfD3T3PcX0z9h3ac2OFkhVOLmKMuKSKCbmt8MfH&#10;erbAyDoiGemU5BV+4hbfLF++uB50yVPVqo5xgwBE2nLQFW6d02UUWdryntgLpbkEY6NMTxwszTZi&#10;hgyA3ndRGsfzaFCGaaMotxZ215MRLwN+03Dq3jeN5Q51FYbYXBhNGDd+jJbXpNwaoltBD2GQf4ii&#10;J0LCpSeoNXEE7Yz4BaoX1CirGndBVR+pphGUhxwgmyR+ls1DSzQPuUBxrD6Vyf4/WPpu/8EgwYC7&#10;S4wk6YGjRz46tFIjmue+PoO2Jbg9aHB0I+yDb8jV6ntFP1kk1V1L5JbfGqOGlhMG8SX+ZHR2dMKx&#10;HmQzvFUM7iE7pwLQ2JjeFw/KgQAdeHo6ceNjobA5T+I8T3OMKNiS9HKR5oG9iJTH49pY95qrHvlJ&#10;hQ2QH+DJ/t46Hw4pjy7+Nqs6wWrRdWFhtpu7zqA9AaHUdb16tQ4ZPHPrpHeWyh+bEKcdiBLu8DYf&#10;byD+a5GkWbxKi1k9X1zNsjrLZ8VVvJjFSbEq5nFWZOv6mw8wycpWMMblvZD8KMIk+zuSD+0wySfI&#10;EA0VLnypQl5/TDIO3++S7IWDnuxEX+HFyYmUntlXkkHapHREdNM8+jn8UGWowfEfqhJ04KmfRODG&#10;zThJ7iivjWJPIAyjgDZgH94TmLTKfMFogN6ssP28I4Zj1L2RIK4iyTLfzGGR5VcpLMy5ZXNuIZIC&#10;VIUdRtP0zk0PwE4bsW3hpknOUt2CIBsRpOKVO0V1kDH0X8jp8Fb4Bj9fB68fL9ryOwAAAP//AwBQ&#10;SwMEFAAGAAgAAAAhAPXBUirbAAAABwEAAA8AAABkcnMvZG93bnJldi54bWxMj8FOwzAQRO9I/Qdr&#10;K3GjTiKRQIhTIRC901Six028TaLG68h22/D3mBMcd2Y087baLmYSV3J+tKwg3SQgiDurR+4VHJqP&#10;hycQPiBrnCyTgm/ysK1XdxWW2t74k6770ItYwr5EBUMIcyml7wYy6Dd2Jo7eyTqDIZ6ul9rhLZab&#10;SWZJkkuDI8eFAWd6G6g77y9GATa7OW2Lxnlqvk75Lhzf9fmo1P16eX0BEWgJf2H4xY/oUEem1l5Y&#10;ezEpiI8EBVlRgIjuc54+gmijkGUFyLqS//nrHwAAAP//AwBQSwECLQAUAAYACAAAACEAtoM4kv4A&#10;AADhAQAAEwAAAAAAAAAAAAAAAAAAAAAAW0NvbnRlbnRfVHlwZXNdLnhtbFBLAQItABQABgAIAAAA&#10;IQA4/SH/1gAAAJQBAAALAAAAAAAAAAAAAAAAAC8BAABfcmVscy8ucmVsc1BLAQItABQABgAIAAAA&#10;IQBXHwHoiwIAABkFAAAOAAAAAAAAAAAAAAAAAC4CAABkcnMvZTJvRG9jLnhtbFBLAQItABQABgAI&#10;AAAAIQD1wVIq2wAAAAcBAAAPAAAAAAAAAAAAAAAAAOUEAABkcnMvZG93bnJldi54bWxQSwUGAAAA&#10;AAQABADzAAAA7QUAAAAA&#10;" fillcolor="#fffbed" stroked="f">
                <v:textbox>
                  <w:txbxContent>
                    <w:p w:rsidR="00161123" w:rsidRDefault="00161123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9373D0" w:rsidRDefault="006B23B6">
      <w:pPr>
        <w:rPr>
          <w:rFonts w:ascii="標楷體" w:eastAsia="標楷體" w:hAnsi="標楷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rFonts w:ascii="標楷體" w:eastAsia="標楷體" w:hAnsi="標楷體"/>
          <w:noProof/>
          <w:color w:val="FF660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0" name="圖片 9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1" name="圖片 9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9373D0">
        <w:rPr>
          <w:rFonts w:ascii="標楷體" w:eastAsia="標楷體" w:hAnsi="標楷體" w:hint="eastAsia"/>
          <w:b/>
          <w:bCs/>
          <w:color w:val="FF6600"/>
          <w:sz w:val="20"/>
          <w:szCs w:val="20"/>
        </w:rPr>
        <w:t xml:space="preserve">   </w:t>
      </w:r>
      <w:r w:rsidR="00BF2B97" w:rsidRPr="009373D0">
        <w:rPr>
          <w:rFonts w:ascii="標楷體" w:eastAsia="標楷體" w:hAnsi="標楷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Pr="009373D0" w:rsidRDefault="006B23B6">
      <w:pPr>
        <w:rPr>
          <w:rFonts w:ascii="標楷體" w:eastAsia="標楷體" w:hAnsi="標楷體"/>
          <w:b/>
          <w:bCs/>
          <w:color w:val="FF6600"/>
          <w:sz w:val="20"/>
          <w:szCs w:val="20"/>
        </w:rPr>
      </w:pPr>
      <w:r>
        <w:rPr>
          <w:rFonts w:ascii="標楷體" w:eastAsia="標楷體" w:hAnsi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2" name="圖片 92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9373D0">
        <w:rPr>
          <w:rFonts w:ascii="標楷體" w:eastAsia="標楷體" w:hAnsi="標楷體" w:hint="eastAsi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 w:rsidRPr="009373D0">
          <w:rPr>
            <w:rStyle w:val="a6"/>
            <w:rFonts w:ascii="標楷體" w:eastAsia="標楷體" w:hAnsi="標楷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Pr="009373D0" w:rsidRDefault="006B23B6">
      <w:pPr>
        <w:rPr>
          <w:rFonts w:ascii="標楷體" w:eastAsia="標楷體" w:hAnsi="標楷體"/>
          <w:b/>
          <w:bCs/>
          <w:color w:val="FF6600"/>
          <w:sz w:val="20"/>
          <w:szCs w:val="20"/>
        </w:rPr>
      </w:pPr>
      <w:r>
        <w:rPr>
          <w:rFonts w:ascii="標楷體" w:eastAsia="標楷體" w:hAnsi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127" name="圖片 12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97" w:rsidRPr="009373D0">
        <w:rPr>
          <w:rFonts w:ascii="標楷體" w:eastAsia="標楷體" w:hAnsi="標楷體" w:hint="eastAsi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 w:rsidRPr="009373D0">
          <w:rPr>
            <w:rStyle w:val="a6"/>
            <w:rFonts w:ascii="標楷體" w:eastAsia="標楷體" w:hAnsi="標楷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Pr="009373D0" w:rsidRDefault="006B23B6">
      <w:pPr>
        <w:rPr>
          <w:rFonts w:ascii="標楷體" w:eastAsia="標楷體" w:hAnsi="標楷體"/>
          <w:b/>
          <w:bCs/>
          <w:color w:val="FF6600"/>
          <w:sz w:val="20"/>
          <w:szCs w:val="20"/>
        </w:rPr>
      </w:pPr>
      <w:r>
        <w:rPr>
          <w:rFonts w:ascii="標楷體" w:eastAsia="標楷體" w:hAnsi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3" name="圖片 9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9373D0">
        <w:rPr>
          <w:rFonts w:ascii="標楷體" w:eastAsia="標楷體" w:hAnsi="標楷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 w:rsidRPr="009373D0">
          <w:rPr>
            <w:rStyle w:val="a6"/>
            <w:rFonts w:ascii="標楷體" w:eastAsia="標楷體" w:hAnsi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9373D0">
          <w:rPr>
            <w:rStyle w:val="a6"/>
            <w:rFonts w:ascii="標楷體" w:eastAsia="標楷體" w:hAnsi="標楷體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9373D0">
          <w:rPr>
            <w:rStyle w:val="a6"/>
            <w:rFonts w:ascii="標楷體" w:eastAsia="標楷體" w:hAnsi="標楷體"/>
            <w:b/>
            <w:bCs/>
            <w:color w:val="FF6600"/>
            <w:sz w:val="20"/>
            <w:szCs w:val="20"/>
          </w:rPr>
          <w:t>年度簡明損益表及申請年度截至最近月份止之自結損益表</w:t>
        </w:r>
      </w:hyperlink>
    </w:p>
    <w:p w:rsidR="00161123" w:rsidRPr="009373D0" w:rsidRDefault="006B23B6">
      <w:pPr>
        <w:rPr>
          <w:rFonts w:ascii="標楷體" w:eastAsia="標楷體" w:hAnsi="標楷體"/>
          <w:b/>
          <w:bCs/>
          <w:color w:val="FF6600"/>
          <w:sz w:val="20"/>
          <w:szCs w:val="20"/>
        </w:rPr>
      </w:pPr>
      <w:r>
        <w:rPr>
          <w:rFonts w:ascii="標楷體" w:eastAsia="標楷體" w:hAnsi="標楷體" w:hint="eastAsi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6350"/>
            <wp:wrapNone/>
            <wp:docPr id="95" name="圖片 9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9373D0">
        <w:rPr>
          <w:rFonts w:ascii="標楷體" w:eastAsia="標楷體" w:hAnsi="標楷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 w:rsidRPr="009373D0">
          <w:rPr>
            <w:rStyle w:val="a6"/>
            <w:rFonts w:ascii="標楷體" w:eastAsia="標楷體" w:hAnsi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9373D0">
          <w:rPr>
            <w:rStyle w:val="a6"/>
            <w:rFonts w:ascii="標楷體" w:eastAsia="標楷體" w:hAnsi="標楷體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9373D0">
          <w:rPr>
            <w:rStyle w:val="a6"/>
            <w:rFonts w:ascii="標楷體" w:eastAsia="標楷體" w:hAnsi="標楷體"/>
            <w:b/>
            <w:bCs/>
            <w:color w:val="FF6600"/>
            <w:sz w:val="20"/>
            <w:szCs w:val="20"/>
          </w:rPr>
          <w:t>年度簡明資產負債表</w:t>
        </w:r>
      </w:hyperlink>
    </w:p>
    <w:p w:rsidR="00161123" w:rsidRPr="009373D0" w:rsidRDefault="006B23B6">
      <w:pPr>
        <w:rPr>
          <w:rFonts w:ascii="標楷體" w:eastAsia="標楷體" w:hAnsi="標楷體"/>
          <w:b/>
          <w:bCs/>
          <w:color w:val="FF6600"/>
          <w:sz w:val="20"/>
        </w:rPr>
      </w:pPr>
      <w:r>
        <w:rPr>
          <w:rFonts w:ascii="標楷體" w:eastAsia="標楷體" w:hAnsi="標楷體" w:hint="eastAsi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6350"/>
            <wp:wrapNone/>
            <wp:docPr id="96" name="圖片 9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9373D0">
        <w:rPr>
          <w:rFonts w:ascii="標楷體" w:eastAsia="標楷體" w:hAnsi="標楷體" w:hint="eastAsi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 w:rsidRPr="009373D0">
          <w:rPr>
            <w:rStyle w:val="a6"/>
            <w:rFonts w:ascii="標楷體" w:eastAsia="標楷體" w:hAnsi="標楷體" w:hint="eastAsia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9373D0">
          <w:rPr>
            <w:rStyle w:val="a6"/>
            <w:rFonts w:ascii="標楷體" w:eastAsia="標楷體" w:hAnsi="標楷體" w:hint="eastAsia"/>
            <w:b/>
            <w:bCs/>
            <w:color w:val="FF6600"/>
            <w:sz w:val="20"/>
            <w:szCs w:val="20"/>
          </w:rPr>
          <w:t>三</w:t>
        </w:r>
        <w:proofErr w:type="gramEnd"/>
        <w:r w:rsidR="00161123" w:rsidRPr="009373D0">
          <w:rPr>
            <w:rStyle w:val="a6"/>
            <w:rFonts w:ascii="標楷體" w:eastAsia="標楷體" w:hAnsi="標楷體" w:hint="eastAsia"/>
            <w:b/>
            <w:bCs/>
            <w:color w:val="FF6600"/>
            <w:sz w:val="20"/>
            <w:szCs w:val="20"/>
          </w:rPr>
          <w:t>年度財務比率</w:t>
        </w:r>
      </w:hyperlink>
    </w:p>
    <w:p w:rsidR="00161123" w:rsidRPr="009373D0" w:rsidRDefault="00161123">
      <w:pPr>
        <w:rPr>
          <w:rFonts w:ascii="標楷體" w:eastAsia="標楷體" w:hAnsi="標楷體"/>
          <w:b/>
          <w:bCs/>
          <w:sz w:val="20"/>
        </w:rPr>
      </w:pPr>
    </w:p>
    <w:p w:rsidR="00161123" w:rsidRPr="009373D0" w:rsidRDefault="00161123">
      <w:pPr>
        <w:rPr>
          <w:rFonts w:eastAsia="標楷體"/>
          <w:b/>
          <w:bCs/>
          <w:sz w:val="20"/>
        </w:rPr>
      </w:pPr>
      <w:r w:rsidRPr="009373D0">
        <w:rPr>
          <w:rFonts w:ascii="標楷體" w:eastAsia="標楷體" w:hAnsi="標楷體"/>
          <w:b/>
          <w:bCs/>
          <w:sz w:val="20"/>
        </w:rPr>
        <w:t>公司名稱：</w:t>
      </w:r>
      <w:proofErr w:type="gramStart"/>
      <w:r w:rsidR="009373D0" w:rsidRPr="00377BCA">
        <w:rPr>
          <w:rFonts w:ascii="標楷體" w:eastAsia="標楷體" w:hAnsi="標楷體" w:hint="eastAsia"/>
          <w:b/>
          <w:bCs/>
          <w:sz w:val="20"/>
        </w:rPr>
        <w:t>醫</w:t>
      </w:r>
      <w:proofErr w:type="gramEnd"/>
      <w:r w:rsidR="009373D0" w:rsidRPr="00377BCA">
        <w:rPr>
          <w:rFonts w:ascii="標楷體" w:eastAsia="標楷體" w:hAnsi="標楷體" w:hint="eastAsia"/>
          <w:b/>
          <w:bCs/>
          <w:sz w:val="20"/>
        </w:rPr>
        <w:t>揚科技</w:t>
      </w:r>
      <w:r w:rsidRPr="00377BCA">
        <w:rPr>
          <w:rFonts w:ascii="標楷體" w:eastAsia="標楷體" w:hAnsi="標楷體" w:hint="eastAsia"/>
          <w:b/>
          <w:bCs/>
          <w:sz w:val="20"/>
        </w:rPr>
        <w:t xml:space="preserve">股份有限公司 </w:t>
      </w:r>
      <w:r w:rsidRPr="009373D0">
        <w:rPr>
          <w:rFonts w:ascii="標楷體" w:eastAsia="標楷體" w:hAnsi="標楷體" w:hint="eastAsia"/>
          <w:b/>
          <w:bCs/>
          <w:sz w:val="20"/>
        </w:rPr>
        <w:t>(股票代號：</w:t>
      </w:r>
      <w:r w:rsidR="009373D0" w:rsidRPr="009373D0">
        <w:rPr>
          <w:rFonts w:eastAsia="標楷體"/>
          <w:b/>
          <w:bCs/>
          <w:sz w:val="20"/>
        </w:rPr>
        <w:t>6569</w:t>
      </w:r>
      <w:r w:rsidRPr="009373D0">
        <w:rPr>
          <w:rFonts w:eastAsia="標楷體"/>
          <w:b/>
          <w:bCs/>
          <w:sz w:val="20"/>
        </w:rPr>
        <w:t>)</w:t>
      </w:r>
    </w:p>
    <w:p w:rsidR="00161123" w:rsidRPr="009373D0" w:rsidRDefault="00161123">
      <w:pPr>
        <w:jc w:val="both"/>
        <w:rPr>
          <w:rFonts w:ascii="標楷體" w:eastAsia="標楷體" w:hAnsi="標楷體"/>
        </w:rPr>
      </w:pPr>
      <w:bookmarkStart w:id="1" w:name="基本資料"/>
      <w:bookmarkEnd w:id="1"/>
      <w:r w:rsidRPr="009373D0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988"/>
      </w:tblGrid>
      <w:tr w:rsidR="00161123" w:rsidRPr="009373D0" w:rsidTr="00553CD3">
        <w:trPr>
          <w:cantSplit/>
        </w:trPr>
        <w:tc>
          <w:tcPr>
            <w:tcW w:w="2580" w:type="dxa"/>
            <w:shd w:val="clear" w:color="auto" w:fill="F9F9F9"/>
          </w:tcPr>
          <w:p w:rsidR="00161123" w:rsidRPr="009373D0" w:rsidRDefault="00161123">
            <w:pPr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輔導推薦證券商</w:t>
            </w:r>
          </w:p>
        </w:tc>
        <w:tc>
          <w:tcPr>
            <w:tcW w:w="6988" w:type="dxa"/>
          </w:tcPr>
          <w:p w:rsidR="00161123" w:rsidRPr="009373D0" w:rsidRDefault="009373D0">
            <w:pPr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 w:hint="eastAsia"/>
                <w:sz w:val="20"/>
              </w:rPr>
              <w:t>台新綜合證券股份有限公司、永豐金證券股份有限公司、</w:t>
            </w:r>
            <w:proofErr w:type="gramStart"/>
            <w:r w:rsidRPr="009373D0">
              <w:rPr>
                <w:rFonts w:ascii="標楷體" w:eastAsia="標楷體" w:hAnsi="標楷體" w:hint="eastAsia"/>
                <w:sz w:val="20"/>
              </w:rPr>
              <w:t>凱</w:t>
            </w:r>
            <w:proofErr w:type="gramEnd"/>
            <w:r w:rsidRPr="009373D0">
              <w:rPr>
                <w:rFonts w:ascii="標楷體" w:eastAsia="標楷體" w:hAnsi="標楷體" w:hint="eastAsia"/>
                <w:sz w:val="20"/>
              </w:rPr>
              <w:t>基證券股份有限公司</w:t>
            </w:r>
          </w:p>
        </w:tc>
      </w:tr>
      <w:tr w:rsidR="00FD1CF9" w:rsidRPr="009373D0" w:rsidTr="00553CD3">
        <w:trPr>
          <w:cantSplit/>
        </w:trPr>
        <w:tc>
          <w:tcPr>
            <w:tcW w:w="2580" w:type="dxa"/>
            <w:shd w:val="clear" w:color="auto" w:fill="F9F9F9"/>
          </w:tcPr>
          <w:p w:rsidR="00FD1CF9" w:rsidRPr="00687343" w:rsidRDefault="00FD1CF9" w:rsidP="00385C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343">
              <w:rPr>
                <w:rFonts w:ascii="標楷體" w:eastAsia="標楷體" w:hAnsi="標楷體" w:hint="eastAsia"/>
                <w:sz w:val="20"/>
                <w:szCs w:val="20"/>
              </w:rPr>
              <w:t>主辦輔導券商聯絡</w:t>
            </w:r>
            <w:r w:rsidR="00553CD3" w:rsidRPr="0068734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687343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6988" w:type="dxa"/>
          </w:tcPr>
          <w:p w:rsidR="00FD1CF9" w:rsidRPr="009373D0" w:rsidRDefault="009373D0">
            <w:pPr>
              <w:rPr>
                <w:rFonts w:eastAsia="標楷體"/>
                <w:sz w:val="20"/>
              </w:rPr>
            </w:pPr>
            <w:proofErr w:type="gramStart"/>
            <w:r w:rsidRPr="009373D0">
              <w:rPr>
                <w:rFonts w:eastAsia="標楷體"/>
                <w:szCs w:val="27"/>
              </w:rPr>
              <w:t>馬靖涵</w:t>
            </w:r>
            <w:proofErr w:type="gramEnd"/>
            <w:r w:rsidRPr="009373D0">
              <w:rPr>
                <w:rFonts w:eastAsia="標楷體"/>
                <w:szCs w:val="27"/>
              </w:rPr>
              <w:t xml:space="preserve">  (02)5576-1964</w:t>
            </w:r>
          </w:p>
        </w:tc>
      </w:tr>
      <w:tr w:rsidR="00161123" w:rsidRPr="009373D0" w:rsidTr="00553CD3">
        <w:trPr>
          <w:cantSplit/>
        </w:trPr>
        <w:tc>
          <w:tcPr>
            <w:tcW w:w="2580" w:type="dxa"/>
            <w:shd w:val="clear" w:color="auto" w:fill="F9F9F9"/>
          </w:tcPr>
          <w:p w:rsidR="00161123" w:rsidRPr="009373D0" w:rsidRDefault="00161123">
            <w:pPr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註冊地國</w:t>
            </w:r>
          </w:p>
        </w:tc>
        <w:tc>
          <w:tcPr>
            <w:tcW w:w="6988" w:type="dxa"/>
          </w:tcPr>
          <w:p w:rsidR="00161123" w:rsidRPr="009373D0" w:rsidRDefault="00161123">
            <w:pPr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  <w:sz w:val="20"/>
              </w:rPr>
              <w:t>(外國發行人適用)</w:t>
            </w:r>
          </w:p>
        </w:tc>
      </w:tr>
      <w:tr w:rsidR="00161123" w:rsidRPr="009373D0" w:rsidTr="00553CD3">
        <w:trPr>
          <w:cantSplit/>
        </w:trPr>
        <w:tc>
          <w:tcPr>
            <w:tcW w:w="2580" w:type="dxa"/>
            <w:shd w:val="clear" w:color="auto" w:fill="F9F9F9"/>
          </w:tcPr>
          <w:p w:rsidR="00161123" w:rsidRPr="009373D0" w:rsidRDefault="00161123">
            <w:pPr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訴訟及非</w:t>
            </w:r>
            <w:proofErr w:type="gramStart"/>
            <w:r w:rsidRPr="009373D0">
              <w:rPr>
                <w:rFonts w:ascii="標楷體" w:eastAsia="標楷體" w:hAnsi="標楷體"/>
                <w:sz w:val="20"/>
              </w:rPr>
              <w:t>訟</w:t>
            </w:r>
            <w:proofErr w:type="gramEnd"/>
            <w:r w:rsidRPr="009373D0">
              <w:rPr>
                <w:rFonts w:ascii="標楷體" w:eastAsia="標楷體" w:hAnsi="標楷體"/>
                <w:sz w:val="20"/>
              </w:rPr>
              <w:t>代理人</w:t>
            </w:r>
          </w:p>
        </w:tc>
        <w:tc>
          <w:tcPr>
            <w:tcW w:w="6988" w:type="dxa"/>
          </w:tcPr>
          <w:p w:rsidR="00161123" w:rsidRPr="009373D0" w:rsidRDefault="00161123">
            <w:pPr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  <w:sz w:val="20"/>
              </w:rPr>
              <w:t>(外國發行人適用)</w:t>
            </w:r>
          </w:p>
        </w:tc>
      </w:tr>
    </w:tbl>
    <w:p w:rsidR="00161123" w:rsidRPr="009373D0" w:rsidRDefault="00161123">
      <w:pPr>
        <w:jc w:val="both"/>
        <w:rPr>
          <w:rFonts w:ascii="標楷體" w:eastAsia="標楷體" w:hAnsi="標楷體"/>
        </w:rPr>
      </w:pPr>
      <w:r w:rsidRPr="009373D0">
        <w:rPr>
          <w:rFonts w:ascii="標楷體" w:eastAsia="標楷體" w:hAnsi="標楷體" w:hint="eastAsia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51"/>
        <w:gridCol w:w="26"/>
        <w:gridCol w:w="2693"/>
        <w:gridCol w:w="108"/>
        <w:gridCol w:w="2444"/>
      </w:tblGrid>
      <w:tr w:rsidR="00BF2B97" w:rsidRPr="009373D0" w:rsidTr="00FF4941">
        <w:tc>
          <w:tcPr>
            <w:tcW w:w="9498" w:type="dxa"/>
            <w:gridSpan w:val="6"/>
            <w:shd w:val="clear" w:color="auto" w:fill="auto"/>
          </w:tcPr>
          <w:p w:rsidR="00BF2B97" w:rsidRPr="000D7285" w:rsidRDefault="00BF2B97" w:rsidP="009373D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輔導</w:t>
            </w:r>
            <w:r w:rsidRPr="000D7285">
              <w:rPr>
                <w:rFonts w:ascii="標楷體" w:eastAsia="標楷體" w:hAnsi="標楷體"/>
                <w:u w:val="single"/>
              </w:rPr>
              <w:t>推薦證券商認購</w:t>
            </w:r>
            <w:proofErr w:type="gramStart"/>
            <w:r w:rsidR="009373D0" w:rsidRPr="000D7285">
              <w:rPr>
                <w:rFonts w:ascii="標楷體" w:eastAsia="標楷體" w:hAnsi="標楷體" w:hint="eastAsia"/>
                <w:u w:val="single"/>
              </w:rPr>
              <w:t>醫</w:t>
            </w:r>
            <w:proofErr w:type="gramEnd"/>
            <w:r w:rsidR="009373D0" w:rsidRPr="000D7285">
              <w:rPr>
                <w:rFonts w:ascii="標楷體" w:eastAsia="標楷體" w:hAnsi="標楷體" w:hint="eastAsia"/>
                <w:u w:val="single"/>
              </w:rPr>
              <w:t>揚科技股份有限</w:t>
            </w:r>
            <w:r w:rsidRPr="000D7285">
              <w:rPr>
                <w:rFonts w:ascii="標楷體" w:eastAsia="標楷體" w:hAnsi="標楷體" w:hint="eastAsia"/>
                <w:u w:val="single"/>
              </w:rPr>
              <w:t>公司</w:t>
            </w:r>
            <w:r w:rsidRPr="000D7285">
              <w:rPr>
                <w:rFonts w:ascii="標楷體" w:eastAsia="標楷體" w:hAnsi="標楷體"/>
                <w:u w:val="single"/>
              </w:rPr>
              <w:t>股票之</w:t>
            </w:r>
            <w:r w:rsidRPr="000D7285">
              <w:rPr>
                <w:rFonts w:ascii="標楷體" w:eastAsia="標楷體" w:hAnsi="標楷體" w:hint="eastAsia"/>
                <w:u w:val="single"/>
              </w:rPr>
              <w:t>相關資訊</w:t>
            </w:r>
          </w:p>
        </w:tc>
      </w:tr>
      <w:tr w:rsidR="00EE4C00" w:rsidRPr="009373D0" w:rsidTr="00FF4941">
        <w:tc>
          <w:tcPr>
            <w:tcW w:w="1276" w:type="dxa"/>
            <w:vMerge w:val="restart"/>
            <w:shd w:val="clear" w:color="auto" w:fill="auto"/>
            <w:vAlign w:val="center"/>
          </w:tcPr>
          <w:p w:rsidR="00EE4C00" w:rsidRPr="000D7285" w:rsidRDefault="00EE4C00" w:rsidP="00D00024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證券商名稱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4C00" w:rsidRPr="000D7285" w:rsidRDefault="00EE4C00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主辦</w:t>
            </w:r>
          </w:p>
        </w:tc>
        <w:tc>
          <w:tcPr>
            <w:tcW w:w="2693" w:type="dxa"/>
            <w:shd w:val="clear" w:color="auto" w:fill="auto"/>
          </w:tcPr>
          <w:p w:rsidR="00EE4C00" w:rsidRPr="000D7285" w:rsidRDefault="00EE4C00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協辦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E4C00" w:rsidRPr="000D7285" w:rsidRDefault="00EE4C00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協辦</w:t>
            </w:r>
          </w:p>
        </w:tc>
      </w:tr>
      <w:tr w:rsidR="00EE4C00" w:rsidRPr="009373D0" w:rsidTr="00FF4941">
        <w:tc>
          <w:tcPr>
            <w:tcW w:w="1276" w:type="dxa"/>
            <w:vMerge/>
            <w:shd w:val="clear" w:color="auto" w:fill="auto"/>
          </w:tcPr>
          <w:p w:rsidR="00EE4C00" w:rsidRPr="000D7285" w:rsidRDefault="00EE4C00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E4C00" w:rsidRPr="00C57B0A" w:rsidRDefault="009373D0" w:rsidP="00EE4C00">
            <w:pPr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57B0A">
              <w:rPr>
                <w:rFonts w:ascii="標楷體" w:eastAsia="標楷體" w:hAnsi="標楷體" w:hint="eastAsia"/>
                <w:sz w:val="22"/>
                <w:u w:val="single"/>
              </w:rPr>
              <w:t>台新綜合證券股份有限公司</w:t>
            </w:r>
          </w:p>
        </w:tc>
        <w:tc>
          <w:tcPr>
            <w:tcW w:w="2693" w:type="dxa"/>
            <w:shd w:val="clear" w:color="auto" w:fill="auto"/>
          </w:tcPr>
          <w:p w:rsidR="00EE4C00" w:rsidRPr="00C57B0A" w:rsidRDefault="009373D0" w:rsidP="00EE4C00">
            <w:pPr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57B0A">
              <w:rPr>
                <w:rFonts w:ascii="標楷體" w:eastAsia="標楷體" w:hAnsi="標楷體" w:hint="eastAsia"/>
                <w:sz w:val="22"/>
                <w:u w:val="single"/>
              </w:rPr>
              <w:t>永豐金證券股份有限公司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E4C00" w:rsidRPr="00C57B0A" w:rsidRDefault="009373D0" w:rsidP="00EE4C00">
            <w:pPr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C57B0A">
              <w:rPr>
                <w:rFonts w:ascii="標楷體" w:eastAsia="標楷體" w:hAnsi="標楷體" w:hint="eastAsia"/>
                <w:sz w:val="22"/>
                <w:u w:val="single"/>
              </w:rPr>
              <w:t>凱</w:t>
            </w:r>
            <w:proofErr w:type="gramEnd"/>
            <w:r w:rsidRPr="00C57B0A">
              <w:rPr>
                <w:rFonts w:ascii="標楷體" w:eastAsia="標楷體" w:hAnsi="標楷體" w:hint="eastAsia"/>
                <w:sz w:val="22"/>
                <w:u w:val="single"/>
              </w:rPr>
              <w:t>基證券股份有限公司</w:t>
            </w:r>
          </w:p>
        </w:tc>
      </w:tr>
      <w:tr w:rsidR="00BF2B97" w:rsidRPr="009373D0" w:rsidTr="00FF4941">
        <w:tc>
          <w:tcPr>
            <w:tcW w:w="1276" w:type="dxa"/>
            <w:shd w:val="clear" w:color="auto" w:fill="auto"/>
          </w:tcPr>
          <w:p w:rsidR="00BF2B97" w:rsidRPr="000D7285" w:rsidRDefault="00BF2B97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57B0A">
              <w:rPr>
                <w:rFonts w:ascii="標楷體" w:eastAsia="標楷體" w:hAnsi="標楷體" w:hint="eastAsia"/>
                <w:u w:val="single"/>
              </w:rPr>
              <w:t>認購日期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BF2B97" w:rsidRPr="000D7285" w:rsidRDefault="00C57B0A" w:rsidP="00C57B0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D04F1">
              <w:rPr>
                <w:rFonts w:eastAsia="標楷體"/>
                <w:u w:val="single"/>
              </w:rPr>
              <w:t>10</w:t>
            </w:r>
            <w:r>
              <w:rPr>
                <w:rFonts w:eastAsia="標楷體" w:hint="eastAsia"/>
                <w:u w:val="single"/>
              </w:rPr>
              <w:t>5</w:t>
            </w:r>
            <w:r w:rsidRPr="00DD04F1">
              <w:rPr>
                <w:rFonts w:eastAsia="標楷體"/>
                <w:u w:val="single"/>
              </w:rPr>
              <w:t>.</w:t>
            </w:r>
            <w:r>
              <w:rPr>
                <w:rFonts w:eastAsia="標楷體" w:hint="eastAsia"/>
                <w:u w:val="single"/>
              </w:rPr>
              <w:t>1</w:t>
            </w:r>
            <w:r w:rsidRPr="00DD04F1">
              <w:rPr>
                <w:rFonts w:eastAsia="標楷體"/>
                <w:u w:val="single"/>
              </w:rPr>
              <w:t>.</w:t>
            </w:r>
            <w:r>
              <w:rPr>
                <w:rFonts w:eastAsia="標楷體" w:hint="eastAsia"/>
                <w:u w:val="single"/>
              </w:rPr>
              <w:t>11</w:t>
            </w:r>
          </w:p>
        </w:tc>
      </w:tr>
      <w:tr w:rsidR="00BF2B97" w:rsidRPr="009373D0" w:rsidTr="000C558E">
        <w:tc>
          <w:tcPr>
            <w:tcW w:w="1276" w:type="dxa"/>
            <w:shd w:val="clear" w:color="auto" w:fill="auto"/>
          </w:tcPr>
          <w:p w:rsidR="00BF2B97" w:rsidRPr="000D7285" w:rsidRDefault="00BF2B97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認購股數（股）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BF2B97" w:rsidRPr="000D7285" w:rsidRDefault="000D7285" w:rsidP="000C558E">
            <w:pPr>
              <w:jc w:val="center"/>
              <w:rPr>
                <w:rFonts w:eastAsia="標楷體"/>
                <w:u w:val="single"/>
              </w:rPr>
            </w:pPr>
            <w:r w:rsidRPr="000D7285">
              <w:rPr>
                <w:rFonts w:eastAsia="標楷體"/>
                <w:u w:val="single"/>
              </w:rPr>
              <w:t>300,000</w:t>
            </w:r>
          </w:p>
        </w:tc>
        <w:tc>
          <w:tcPr>
            <w:tcW w:w="2827" w:type="dxa"/>
            <w:gridSpan w:val="3"/>
            <w:shd w:val="clear" w:color="auto" w:fill="auto"/>
            <w:vAlign w:val="center"/>
          </w:tcPr>
          <w:p w:rsidR="00BF2B97" w:rsidRPr="000D7285" w:rsidRDefault="000D7285" w:rsidP="000C558E">
            <w:pPr>
              <w:jc w:val="center"/>
              <w:rPr>
                <w:rFonts w:eastAsia="標楷體"/>
                <w:u w:val="single"/>
              </w:rPr>
            </w:pPr>
            <w:r w:rsidRPr="000D7285">
              <w:rPr>
                <w:rFonts w:eastAsia="標楷體"/>
                <w:u w:val="single"/>
              </w:rPr>
              <w:t>100,000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F2B97" w:rsidRPr="000D7285" w:rsidRDefault="000D7285" w:rsidP="000C558E">
            <w:pPr>
              <w:jc w:val="center"/>
              <w:rPr>
                <w:rFonts w:eastAsia="標楷體"/>
                <w:u w:val="single"/>
              </w:rPr>
            </w:pPr>
            <w:r w:rsidRPr="000D7285">
              <w:rPr>
                <w:rFonts w:eastAsia="標楷體"/>
                <w:u w:val="single"/>
              </w:rPr>
              <w:t>100,000</w:t>
            </w:r>
          </w:p>
        </w:tc>
      </w:tr>
      <w:tr w:rsidR="00C57B0A" w:rsidRPr="009373D0" w:rsidTr="00FF4941">
        <w:tc>
          <w:tcPr>
            <w:tcW w:w="1276" w:type="dxa"/>
            <w:shd w:val="clear" w:color="auto" w:fill="auto"/>
          </w:tcPr>
          <w:p w:rsidR="00C57B0A" w:rsidRPr="000D7285" w:rsidRDefault="00C57B0A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0D7285">
              <w:rPr>
                <w:rFonts w:ascii="標楷體" w:eastAsia="標楷體" w:hAnsi="標楷體" w:hint="eastAsia"/>
                <w:u w:val="single"/>
              </w:rPr>
              <w:t>認購占擬櫃檯</w:t>
            </w:r>
            <w:proofErr w:type="gramEnd"/>
            <w:r w:rsidRPr="000D7285">
              <w:rPr>
                <w:rFonts w:ascii="標楷體" w:eastAsia="標楷體" w:hAnsi="標楷體" w:hint="eastAsia"/>
                <w:u w:val="single"/>
              </w:rPr>
              <w:t>買賣股份總數之比率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57B0A" w:rsidRPr="000D7285" w:rsidRDefault="00C57B0A" w:rsidP="00C57B0A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2.09</w:t>
            </w:r>
            <w:r w:rsidRPr="00DD04F1">
              <w:rPr>
                <w:rFonts w:eastAsia="標楷體"/>
              </w:rPr>
              <w:t>%</w:t>
            </w:r>
          </w:p>
        </w:tc>
        <w:tc>
          <w:tcPr>
            <w:tcW w:w="2827" w:type="dxa"/>
            <w:gridSpan w:val="3"/>
            <w:shd w:val="clear" w:color="auto" w:fill="auto"/>
            <w:vAlign w:val="center"/>
          </w:tcPr>
          <w:p w:rsidR="00C57B0A" w:rsidRPr="00C57B0A" w:rsidRDefault="00C57B0A" w:rsidP="00C57B0A">
            <w:pPr>
              <w:jc w:val="center"/>
              <w:rPr>
                <w:rFonts w:eastAsia="標楷體"/>
              </w:rPr>
            </w:pPr>
            <w:r w:rsidRPr="00C57B0A">
              <w:rPr>
                <w:rFonts w:eastAsia="標楷體" w:hint="eastAsia"/>
              </w:rPr>
              <w:t>0.70%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57B0A" w:rsidRPr="00C57B0A" w:rsidRDefault="00C57B0A" w:rsidP="00C57B0A">
            <w:pPr>
              <w:jc w:val="center"/>
              <w:rPr>
                <w:rFonts w:eastAsia="標楷體"/>
              </w:rPr>
            </w:pPr>
            <w:r w:rsidRPr="00C57B0A">
              <w:rPr>
                <w:rFonts w:eastAsia="標楷體" w:hint="eastAsia"/>
              </w:rPr>
              <w:t>0.70%</w:t>
            </w:r>
          </w:p>
        </w:tc>
      </w:tr>
      <w:tr w:rsidR="00C57B0A" w:rsidRPr="009373D0" w:rsidTr="00FF4941">
        <w:tc>
          <w:tcPr>
            <w:tcW w:w="1276" w:type="dxa"/>
            <w:shd w:val="clear" w:color="auto" w:fill="auto"/>
          </w:tcPr>
          <w:p w:rsidR="00C57B0A" w:rsidRPr="000D7285" w:rsidRDefault="00C57B0A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認購價格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C57B0A" w:rsidRPr="000D7285" w:rsidRDefault="00C57B0A" w:rsidP="000D728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eastAsia="標楷體" w:hint="eastAsia"/>
              </w:rPr>
              <w:t>112</w:t>
            </w:r>
            <w:r w:rsidRPr="000D7285">
              <w:rPr>
                <w:rFonts w:eastAsia="標楷體" w:hAnsi="標楷體"/>
              </w:rPr>
              <w:t>元</w:t>
            </w:r>
            <w:r w:rsidRPr="000D7285">
              <w:rPr>
                <w:rFonts w:eastAsia="標楷體"/>
              </w:rPr>
              <w:t>/</w:t>
            </w:r>
            <w:r w:rsidRPr="000D7285">
              <w:rPr>
                <w:rFonts w:eastAsia="標楷體" w:hAnsi="標楷體"/>
              </w:rPr>
              <w:t>股</w:t>
            </w:r>
          </w:p>
        </w:tc>
      </w:tr>
      <w:tr w:rsidR="00C57B0A" w:rsidRPr="009373D0" w:rsidTr="00FF4941">
        <w:tc>
          <w:tcPr>
            <w:tcW w:w="1276" w:type="dxa"/>
            <w:shd w:val="clear" w:color="auto" w:fill="auto"/>
            <w:vAlign w:val="center"/>
          </w:tcPr>
          <w:p w:rsidR="00C57B0A" w:rsidRPr="000D7285" w:rsidRDefault="00C57B0A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認購價格之訂定</w:t>
            </w:r>
          </w:p>
          <w:p w:rsidR="00C57B0A" w:rsidRPr="000D7285" w:rsidRDefault="00C57B0A" w:rsidP="00F23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D7285">
              <w:rPr>
                <w:rFonts w:ascii="標楷體" w:eastAsia="標楷體" w:hAnsi="標楷體" w:hint="eastAsia"/>
                <w:u w:val="single"/>
              </w:rPr>
              <w:t>依據</w:t>
            </w:r>
            <w:r w:rsidRPr="000D7285">
              <w:rPr>
                <w:rFonts w:ascii="標楷體" w:eastAsia="標楷體" w:hAnsi="標楷體"/>
                <w:u w:val="single"/>
              </w:rPr>
              <w:t>及方式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C57B0A" w:rsidRPr="006F7935" w:rsidRDefault="00C57B0A" w:rsidP="00C57B0A">
            <w:pPr>
              <w:jc w:val="both"/>
              <w:rPr>
                <w:rFonts w:eastAsia="標楷體"/>
              </w:rPr>
            </w:pPr>
            <w:r w:rsidRPr="006F7935">
              <w:rPr>
                <w:rFonts w:eastAsia="標楷體" w:hint="eastAsia"/>
              </w:rPr>
              <w:t>一、</w:t>
            </w:r>
            <w:r w:rsidRPr="006F7935">
              <w:rPr>
                <w:rFonts w:eastAsia="標楷體" w:hAnsi="標楷體"/>
              </w:rPr>
              <w:t>認購價格訂定所採用之方法、原則或計算方式</w:t>
            </w:r>
          </w:p>
          <w:p w:rsidR="00C57B0A" w:rsidRPr="006F7935" w:rsidRDefault="00C57B0A" w:rsidP="00C57B0A">
            <w:pPr>
              <w:ind w:leftChars="177" w:left="425" w:firstLineChars="210" w:firstLine="504"/>
              <w:jc w:val="both"/>
              <w:rPr>
                <w:rFonts w:eastAsia="標楷體"/>
              </w:rPr>
            </w:pPr>
            <w:r w:rsidRPr="006F7935">
              <w:rPr>
                <w:rFonts w:eastAsia="標楷體" w:hAnsi="標楷體" w:hint="eastAsia"/>
              </w:rPr>
              <w:t>股票價值評估的方式</w:t>
            </w:r>
            <w:proofErr w:type="gramStart"/>
            <w:r w:rsidRPr="006F7935">
              <w:rPr>
                <w:rFonts w:eastAsia="標楷體" w:hAnsi="標楷體" w:hint="eastAsia"/>
              </w:rPr>
              <w:t>多樣，</w:t>
            </w:r>
            <w:proofErr w:type="gramEnd"/>
            <w:r w:rsidRPr="006F7935">
              <w:rPr>
                <w:rFonts w:eastAsia="標楷體" w:hAnsi="標楷體" w:hint="eastAsia"/>
              </w:rPr>
              <w:t>各有其優缺點，評估之結果亦有所差異，目前市場上常用之股票評價方法包括市場基礎法</w:t>
            </w:r>
            <w:r w:rsidRPr="006F7935">
              <w:rPr>
                <w:rFonts w:eastAsia="標楷體" w:hAnsi="標楷體" w:hint="eastAsia"/>
              </w:rPr>
              <w:t>(</w:t>
            </w:r>
            <w:r w:rsidRPr="006F7935">
              <w:rPr>
                <w:rFonts w:eastAsia="標楷體" w:hAnsi="標楷體" w:hint="eastAsia"/>
              </w:rPr>
              <w:t>如本益比法及股價淨值比法</w:t>
            </w:r>
            <w:r w:rsidRPr="006F7935">
              <w:rPr>
                <w:rFonts w:eastAsia="標楷體" w:hAnsi="標楷體" w:hint="eastAsia"/>
              </w:rPr>
              <w:t>)</w:t>
            </w:r>
            <w:r w:rsidRPr="006F7935">
              <w:rPr>
                <w:rFonts w:eastAsia="標楷體" w:hAnsi="標楷體" w:hint="eastAsia"/>
              </w:rPr>
              <w:t>，透過已公開的資訊，和整個市場、產業性質相近的同業及被評價公司歷史軌跡比較，作為評量企業的價值，再根據被評價公司本身異於</w:t>
            </w:r>
            <w:proofErr w:type="gramStart"/>
            <w:r w:rsidRPr="006F7935">
              <w:rPr>
                <w:rFonts w:eastAsia="標楷體" w:hAnsi="標楷體" w:hint="eastAsia"/>
              </w:rPr>
              <w:t>採</w:t>
            </w:r>
            <w:proofErr w:type="gramEnd"/>
            <w:r w:rsidRPr="006F7935">
              <w:rPr>
                <w:rFonts w:eastAsia="標楷體" w:hAnsi="標楷體" w:hint="eastAsia"/>
              </w:rPr>
              <w:t>樣公司之部分</w:t>
            </w:r>
            <w:proofErr w:type="gramStart"/>
            <w:r w:rsidRPr="006F7935">
              <w:rPr>
                <w:rFonts w:eastAsia="標楷體" w:hAnsi="標楷體" w:hint="eastAsia"/>
              </w:rPr>
              <w:t>作折溢</w:t>
            </w:r>
            <w:proofErr w:type="gramEnd"/>
            <w:r w:rsidRPr="006F7935">
              <w:rPr>
                <w:rFonts w:eastAsia="標楷體" w:hAnsi="標楷體" w:hint="eastAsia"/>
              </w:rPr>
              <w:t>價的調整；成本法如淨值法則係以</w:t>
            </w:r>
            <w:proofErr w:type="gramStart"/>
            <w:r w:rsidRPr="006F7935">
              <w:rPr>
                <w:rFonts w:eastAsia="標楷體" w:hAnsi="標楷體" w:hint="eastAsia"/>
              </w:rPr>
              <w:t>帳面</w:t>
            </w:r>
            <w:proofErr w:type="gramEnd"/>
            <w:r w:rsidRPr="006F7935">
              <w:rPr>
                <w:rFonts w:eastAsia="標楷體" w:hAnsi="標楷體" w:hint="eastAsia"/>
              </w:rPr>
              <w:t>之歷史成本資</w:t>
            </w:r>
            <w:r w:rsidRPr="006F7935">
              <w:rPr>
                <w:rFonts w:eastAsia="標楷體" w:hAnsi="標楷體" w:hint="eastAsia"/>
              </w:rPr>
              <w:lastRenderedPageBreak/>
              <w:t>料為公司價值評定之基礎；另</w:t>
            </w:r>
            <w:r w:rsidR="000C558E" w:rsidRPr="000C558E">
              <w:rPr>
                <w:rFonts w:eastAsia="標楷體" w:hAnsi="標楷體" w:hint="eastAsia"/>
              </w:rPr>
              <w:t>現金流量折現法</w:t>
            </w:r>
            <w:r w:rsidRPr="006F7935">
              <w:rPr>
                <w:rFonts w:eastAsia="標楷體" w:hAnsi="標楷體" w:hint="eastAsia"/>
              </w:rPr>
              <w:t>則重視未來公司</w:t>
            </w:r>
            <w:r w:rsidR="000C558E">
              <w:rPr>
                <w:rFonts w:eastAsia="標楷體" w:hAnsi="標楷體" w:hint="eastAsia"/>
              </w:rPr>
              <w:t>營運所</w:t>
            </w:r>
            <w:r w:rsidRPr="006F7935">
              <w:rPr>
                <w:rFonts w:eastAsia="標楷體" w:hAnsi="標楷體" w:hint="eastAsia"/>
              </w:rPr>
              <w:t>創造</w:t>
            </w:r>
            <w:r w:rsidR="000C558E">
              <w:rPr>
                <w:rFonts w:eastAsia="標楷體" w:hAnsi="標楷體" w:hint="eastAsia"/>
              </w:rPr>
              <w:t>出之</w:t>
            </w:r>
            <w:r w:rsidRPr="006F7935">
              <w:rPr>
                <w:rFonts w:eastAsia="標楷體" w:hAnsi="標楷體" w:hint="eastAsia"/>
              </w:rPr>
              <w:t>現金</w:t>
            </w:r>
            <w:r w:rsidR="000C558E">
              <w:rPr>
                <w:rFonts w:eastAsia="標楷體" w:hAnsi="標楷體" w:hint="eastAsia"/>
              </w:rPr>
              <w:t>流入價值</w:t>
            </w:r>
            <w:r w:rsidRPr="006F7935">
              <w:rPr>
                <w:rFonts w:eastAsia="標楷體" w:hAnsi="標楷體" w:hint="eastAsia"/>
              </w:rPr>
              <w:t>。</w:t>
            </w:r>
          </w:p>
          <w:p w:rsidR="00C57B0A" w:rsidRPr="006F7935" w:rsidRDefault="00C57B0A" w:rsidP="00C57B0A">
            <w:pPr>
              <w:ind w:leftChars="177" w:left="425" w:firstLineChars="210" w:firstLine="504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揚科技</w:t>
            </w:r>
            <w:r w:rsidRPr="006F7935">
              <w:rPr>
                <w:rFonts w:ascii="標楷體" w:eastAsia="標楷體" w:hAnsi="標楷體" w:hint="eastAsia"/>
              </w:rPr>
              <w:t>股份有限公司(以下簡稱</w:t>
            </w:r>
            <w:proofErr w:type="gramStart"/>
            <w:r w:rsidR="001175E9">
              <w:rPr>
                <w:rFonts w:ascii="標楷體" w:eastAsia="標楷體" w:hAnsi="標楷體" w:hint="eastAsia"/>
              </w:rPr>
              <w:t>醫揚</w:t>
            </w:r>
            <w:r w:rsidRPr="006F7935">
              <w:rPr>
                <w:rFonts w:ascii="標楷體" w:eastAsia="標楷體" w:hAnsi="標楷體" w:hint="eastAsia"/>
              </w:rPr>
              <w:t>或</w:t>
            </w:r>
            <w:proofErr w:type="gramEnd"/>
            <w:r w:rsidRPr="006F7935">
              <w:rPr>
                <w:rFonts w:ascii="標楷體" w:eastAsia="標楷體" w:hAnsi="標楷體" w:hint="eastAsia"/>
              </w:rPr>
              <w:t>該公司)</w:t>
            </w:r>
            <w:r w:rsidR="0066211D">
              <w:rPr>
                <w:rFonts w:ascii="標楷體" w:eastAsia="標楷體" w:hAnsi="標楷體" w:hint="eastAsia"/>
              </w:rPr>
              <w:t>主要</w:t>
            </w:r>
            <w:r w:rsidRPr="006F7935">
              <w:rPr>
                <w:rFonts w:ascii="標楷體" w:eastAsia="標楷體" w:hAnsi="標楷體" w:hint="eastAsia"/>
              </w:rPr>
              <w:t>係</w:t>
            </w:r>
            <w:r w:rsidR="0066211D">
              <w:rPr>
                <w:rFonts w:ascii="標楷體" w:eastAsia="標楷體" w:hAnsi="標楷體" w:hint="eastAsia"/>
              </w:rPr>
              <w:t>從事</w:t>
            </w:r>
            <w:r w:rsidR="0066211D" w:rsidRPr="0066211D">
              <w:rPr>
                <w:rFonts w:eastAsia="標楷體" w:hint="eastAsia"/>
              </w:rPr>
              <w:t>醫療</w:t>
            </w:r>
            <w:r w:rsidR="000C558E">
              <w:rPr>
                <w:rFonts w:eastAsia="標楷體" w:hint="eastAsia"/>
              </w:rPr>
              <w:t>用</w:t>
            </w:r>
            <w:r w:rsidR="0066211D" w:rsidRPr="0066211D">
              <w:rPr>
                <w:rFonts w:eastAsia="標楷體" w:hint="eastAsia"/>
              </w:rPr>
              <w:t>電腦相關產品之研發、製造及銷售</w:t>
            </w:r>
            <w:r w:rsidRPr="0066211D">
              <w:rPr>
                <w:rFonts w:ascii="標楷體" w:eastAsia="標楷體" w:hAnsi="標楷體" w:hint="eastAsia"/>
              </w:rPr>
              <w:t>，近年來營運規模及獲利能力逐漸上升，屬獲利穩定且成長型類股</w:t>
            </w:r>
            <w:r w:rsidRPr="0066211D">
              <w:rPr>
                <w:rFonts w:ascii="標楷體" w:eastAsia="標楷體" w:hAnsi="標楷體"/>
              </w:rPr>
              <w:t>。</w:t>
            </w:r>
            <w:r w:rsidRPr="0066211D">
              <w:rPr>
                <w:rFonts w:eastAsia="標楷體" w:hAnsi="標楷體"/>
              </w:rPr>
              <w:t>該公司認購價格之計算方</w:t>
            </w:r>
            <w:r w:rsidRPr="006F7935">
              <w:rPr>
                <w:rFonts w:eastAsia="標楷體" w:hAnsi="標楷體"/>
              </w:rPr>
              <w:t>式，係綜合參酌該公司之所處產業、經營績效、發行市場環境、</w:t>
            </w:r>
            <w:r w:rsidRPr="006F7935">
              <w:rPr>
                <w:rFonts w:eastAsia="標楷體" w:hAnsi="標楷體" w:hint="eastAsia"/>
              </w:rPr>
              <w:t>本益</w:t>
            </w:r>
            <w:r w:rsidRPr="006F7935">
              <w:rPr>
                <w:rFonts w:eastAsia="標楷體" w:hAnsi="標楷體"/>
              </w:rPr>
              <w:t>比法及興櫃</w:t>
            </w:r>
            <w:proofErr w:type="gramStart"/>
            <w:r w:rsidRPr="006F7935">
              <w:rPr>
                <w:rFonts w:eastAsia="標楷體" w:hAnsi="標楷體"/>
              </w:rPr>
              <w:t>巿</w:t>
            </w:r>
            <w:proofErr w:type="gramEnd"/>
            <w:r w:rsidRPr="006F7935">
              <w:rPr>
                <w:rFonts w:eastAsia="標楷體" w:hAnsi="標楷體"/>
              </w:rPr>
              <w:t>場流動性不足之風險，經與該公司議定之認購價格</w:t>
            </w:r>
            <w:r w:rsidRPr="006F7935">
              <w:rPr>
                <w:rFonts w:eastAsia="標楷體" w:hAnsi="標楷體" w:hint="eastAsia"/>
              </w:rPr>
              <w:t>如上列所示</w:t>
            </w:r>
            <w:r w:rsidRPr="006F7935">
              <w:rPr>
                <w:rFonts w:eastAsia="標楷體" w:hAnsi="標楷體"/>
              </w:rPr>
              <w:t>。</w:t>
            </w:r>
          </w:p>
          <w:p w:rsidR="00C57B0A" w:rsidRPr="006F7935" w:rsidRDefault="00C57B0A" w:rsidP="00C57B0A">
            <w:pPr>
              <w:ind w:left="456" w:hangingChars="190" w:hanging="456"/>
              <w:jc w:val="both"/>
              <w:rPr>
                <w:rFonts w:eastAsia="標楷體" w:hAnsi="標楷體"/>
              </w:rPr>
            </w:pPr>
            <w:r w:rsidRPr="006F7935">
              <w:rPr>
                <w:rFonts w:eastAsia="標楷體" w:hint="eastAsia"/>
              </w:rPr>
              <w:t>二、</w:t>
            </w:r>
            <w:r w:rsidRPr="006F7935">
              <w:rPr>
                <w:rFonts w:eastAsia="標楷體" w:hAnsi="標楷體"/>
              </w:rPr>
              <w:t>承銷價格訂定與適用國際慣用之</w:t>
            </w:r>
            <w:proofErr w:type="gramStart"/>
            <w:r w:rsidRPr="006F7935">
              <w:rPr>
                <w:rFonts w:eastAsia="標楷體" w:hAnsi="標楷體"/>
              </w:rPr>
              <w:t>巿</w:t>
            </w:r>
            <w:proofErr w:type="gramEnd"/>
            <w:r w:rsidRPr="006F7935">
              <w:rPr>
                <w:rFonts w:eastAsia="標楷體" w:hAnsi="標楷體"/>
              </w:rPr>
              <w:t>價法、成本法及現金流量</w:t>
            </w:r>
            <w:proofErr w:type="gramStart"/>
            <w:r w:rsidRPr="006F7935">
              <w:rPr>
                <w:rFonts w:eastAsia="標楷體" w:hAnsi="標楷體"/>
              </w:rPr>
              <w:t>折現法之</w:t>
            </w:r>
            <w:proofErr w:type="gramEnd"/>
            <w:r w:rsidRPr="006F7935">
              <w:rPr>
                <w:rFonts w:eastAsia="標楷體" w:hAnsi="標楷體"/>
              </w:rPr>
              <w:t>比較</w:t>
            </w:r>
          </w:p>
          <w:p w:rsidR="00C57B0A" w:rsidRPr="006F7935" w:rsidRDefault="00C57B0A" w:rsidP="00C57B0A">
            <w:pPr>
              <w:ind w:firstLineChars="126" w:firstLine="302"/>
              <w:jc w:val="both"/>
              <w:rPr>
                <w:rFonts w:eastAsia="標楷體"/>
              </w:rPr>
            </w:pPr>
            <w:r w:rsidRPr="006F7935">
              <w:rPr>
                <w:rFonts w:eastAsia="標楷體" w:hint="eastAsia"/>
              </w:rPr>
              <w:t>(</w:t>
            </w:r>
            <w:proofErr w:type="gramStart"/>
            <w:r w:rsidRPr="006F7935">
              <w:rPr>
                <w:rFonts w:eastAsia="標楷體" w:hint="eastAsia"/>
              </w:rPr>
              <w:t>一</w:t>
            </w:r>
            <w:proofErr w:type="gramEnd"/>
            <w:r w:rsidRPr="006F7935">
              <w:rPr>
                <w:rFonts w:eastAsia="標楷體" w:hint="eastAsia"/>
              </w:rPr>
              <w:t>)</w:t>
            </w:r>
            <w:proofErr w:type="gramStart"/>
            <w:r w:rsidRPr="006F7935">
              <w:rPr>
                <w:rFonts w:eastAsia="標楷體"/>
              </w:rPr>
              <w:t>巿</w:t>
            </w:r>
            <w:proofErr w:type="gramEnd"/>
            <w:r w:rsidRPr="006F7935">
              <w:rPr>
                <w:rFonts w:eastAsia="標楷體" w:hint="eastAsia"/>
              </w:rPr>
              <w:t>場基礎</w:t>
            </w:r>
            <w:r w:rsidRPr="006F7935">
              <w:rPr>
                <w:rFonts w:eastAsia="標楷體"/>
              </w:rPr>
              <w:t>法</w:t>
            </w:r>
          </w:p>
          <w:p w:rsidR="00C57B0A" w:rsidRPr="006F7935" w:rsidRDefault="00C57B0A" w:rsidP="00C57B0A">
            <w:pPr>
              <w:ind w:firstLineChars="236" w:firstLine="566"/>
              <w:jc w:val="both"/>
              <w:rPr>
                <w:rFonts w:eastAsia="標楷體"/>
              </w:rPr>
            </w:pPr>
            <w:r w:rsidRPr="006F7935">
              <w:rPr>
                <w:rFonts w:eastAsia="標楷體" w:hint="eastAsia"/>
              </w:rPr>
              <w:t>1.</w:t>
            </w:r>
            <w:r w:rsidRPr="006F7935">
              <w:rPr>
                <w:rFonts w:eastAsia="標楷體" w:hAnsi="標楷體" w:hint="eastAsia"/>
              </w:rPr>
              <w:t>本益比法</w:t>
            </w:r>
          </w:p>
          <w:p w:rsidR="00C57B0A" w:rsidRDefault="001175E9" w:rsidP="00C57B0A">
            <w:pPr>
              <w:ind w:leftChars="309" w:left="742" w:firstLineChars="236" w:firstLine="566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揚</w:t>
            </w:r>
            <w:r w:rsidR="00C57B0A" w:rsidRPr="006F7935">
              <w:rPr>
                <w:rFonts w:ascii="標楷體" w:eastAsia="標楷體" w:hAnsi="標楷體" w:hint="eastAsia"/>
              </w:rPr>
              <w:t>主要係</w:t>
            </w:r>
            <w:r w:rsidR="00C57B0A" w:rsidRPr="00A70B8B">
              <w:rPr>
                <w:rFonts w:ascii="標楷體" w:eastAsia="標楷體" w:hAnsi="標楷體" w:hint="eastAsia"/>
              </w:rPr>
              <w:t>從事</w:t>
            </w:r>
            <w:r w:rsidR="0066211D" w:rsidRPr="0066211D">
              <w:rPr>
                <w:rFonts w:eastAsia="標楷體" w:hint="eastAsia"/>
              </w:rPr>
              <w:t>醫療</w:t>
            </w:r>
            <w:r w:rsidR="0024758D">
              <w:rPr>
                <w:rFonts w:eastAsia="標楷體" w:hint="eastAsia"/>
              </w:rPr>
              <w:t>用</w:t>
            </w:r>
            <w:r w:rsidR="0066211D" w:rsidRPr="0066211D">
              <w:rPr>
                <w:rFonts w:eastAsia="標楷體" w:hint="eastAsia"/>
              </w:rPr>
              <w:t>電腦相關產品之研發、製造及銷售</w:t>
            </w:r>
            <w:r w:rsidR="0021224D">
              <w:rPr>
                <w:rFonts w:eastAsia="標楷體" w:hAnsi="標楷體" w:hint="eastAsia"/>
                <w:kern w:val="0"/>
                <w:lang w:val="x-none"/>
              </w:rPr>
              <w:t>，</w:t>
            </w:r>
            <w:r w:rsidR="00C57B0A" w:rsidRPr="00A70B8B">
              <w:rPr>
                <w:rFonts w:eastAsia="標楷體" w:hint="eastAsia"/>
              </w:rPr>
              <w:t>經參考國內已上市櫃之同業資料</w:t>
            </w:r>
            <w:r w:rsidR="00C57B0A" w:rsidRPr="00A70B8B">
              <w:rPr>
                <w:rFonts w:eastAsia="標楷體"/>
                <w:sz w:val="23"/>
                <w:szCs w:val="23"/>
              </w:rPr>
              <w:t>，國內並無</w:t>
            </w:r>
            <w:r w:rsidR="00C57B0A" w:rsidRPr="00A70B8B">
              <w:rPr>
                <w:rFonts w:eastAsia="標楷體" w:hint="eastAsia"/>
                <w:sz w:val="23"/>
                <w:szCs w:val="23"/>
              </w:rPr>
              <w:t>與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醫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揚</w:t>
            </w:r>
            <w:r w:rsidR="00C57B0A" w:rsidRPr="00A70B8B">
              <w:rPr>
                <w:rFonts w:eastAsia="標楷體" w:hint="eastAsia"/>
                <w:sz w:val="23"/>
                <w:szCs w:val="23"/>
              </w:rPr>
              <w:t>之產品</w:t>
            </w:r>
            <w:r w:rsidR="00C57B0A" w:rsidRPr="00A70B8B">
              <w:rPr>
                <w:rFonts w:eastAsia="標楷體"/>
                <w:sz w:val="23"/>
                <w:szCs w:val="23"/>
              </w:rPr>
              <w:t>完全</w:t>
            </w:r>
            <w:r w:rsidR="00C57B0A" w:rsidRPr="00A70B8B">
              <w:rPr>
                <w:rFonts w:eastAsia="標楷體" w:hint="eastAsia"/>
                <w:sz w:val="23"/>
                <w:szCs w:val="23"/>
              </w:rPr>
              <w:t>相同之同業</w:t>
            </w:r>
            <w:r w:rsidR="00C57B0A" w:rsidRPr="00A70B8B">
              <w:rPr>
                <w:rFonts w:eastAsia="標楷體"/>
                <w:sz w:val="23"/>
                <w:szCs w:val="23"/>
              </w:rPr>
              <w:t>，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故選擇與該公司所營事業較為相近者。其中</w:t>
            </w:r>
            <w:proofErr w:type="gramStart"/>
            <w:r w:rsidR="008278A0" w:rsidRPr="008278A0">
              <w:rPr>
                <w:rFonts w:eastAsia="標楷體" w:hint="eastAsia"/>
                <w:sz w:val="23"/>
                <w:szCs w:val="23"/>
              </w:rPr>
              <w:t>鈺</w:t>
            </w:r>
            <w:proofErr w:type="gramEnd"/>
            <w:r w:rsidR="008278A0" w:rsidRPr="008278A0">
              <w:rPr>
                <w:rFonts w:eastAsia="標楷體" w:hint="eastAsia"/>
                <w:sz w:val="23"/>
                <w:szCs w:val="23"/>
              </w:rPr>
              <w:t>緯之主要產品為醫療</w:t>
            </w:r>
            <w:r w:rsidR="008278A0">
              <w:rPr>
                <w:rFonts w:eastAsia="標楷體" w:hint="eastAsia"/>
                <w:sz w:val="23"/>
                <w:szCs w:val="23"/>
              </w:rPr>
              <w:t>用顯示器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；</w:t>
            </w:r>
            <w:proofErr w:type="gramStart"/>
            <w:r w:rsidR="003F6EE9" w:rsidRPr="003F6EE9">
              <w:rPr>
                <w:rFonts w:eastAsia="標楷體" w:hint="eastAsia"/>
                <w:sz w:val="23"/>
                <w:szCs w:val="23"/>
              </w:rPr>
              <w:t>鐿鈦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係</w:t>
            </w:r>
            <w:proofErr w:type="gramEnd"/>
            <w:r w:rsidR="003F6EE9" w:rsidRPr="003F6EE9">
              <w:rPr>
                <w:rFonts w:eastAsia="標楷體" w:hint="eastAsia"/>
                <w:sz w:val="23"/>
                <w:szCs w:val="23"/>
              </w:rPr>
              <w:t>醫療器材用金屬零件、</w:t>
            </w:r>
            <w:proofErr w:type="gramStart"/>
            <w:r w:rsidR="003F6EE9" w:rsidRPr="003F6EE9">
              <w:rPr>
                <w:rFonts w:eastAsia="標楷體" w:hint="eastAsia"/>
                <w:sz w:val="23"/>
                <w:szCs w:val="23"/>
              </w:rPr>
              <w:t>精密扣件及</w:t>
            </w:r>
            <w:proofErr w:type="gramEnd"/>
            <w:r w:rsidR="003F6EE9" w:rsidRPr="003F6EE9">
              <w:rPr>
                <w:rFonts w:eastAsia="標楷體" w:hint="eastAsia"/>
                <w:sz w:val="23"/>
                <w:szCs w:val="23"/>
              </w:rPr>
              <w:t>微波開關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；</w:t>
            </w:r>
            <w:r w:rsidR="003F6EE9">
              <w:rPr>
                <w:rFonts w:eastAsia="標楷體" w:hint="eastAsia"/>
                <w:sz w:val="23"/>
                <w:szCs w:val="23"/>
              </w:rPr>
              <w:t>百略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係</w:t>
            </w:r>
            <w:r w:rsidR="003F6EE9" w:rsidRPr="003F6EE9">
              <w:rPr>
                <w:rFonts w:eastAsia="標楷體" w:hint="eastAsia"/>
                <w:sz w:val="23"/>
                <w:szCs w:val="23"/>
              </w:rPr>
              <w:t>數位體溫計及血壓計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；</w:t>
            </w:r>
            <w:proofErr w:type="gramStart"/>
            <w:r w:rsidR="003F6EE9">
              <w:rPr>
                <w:rFonts w:eastAsia="標楷體" w:hint="eastAsia"/>
                <w:sz w:val="23"/>
                <w:szCs w:val="23"/>
              </w:rPr>
              <w:t>泰博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則</w:t>
            </w:r>
            <w:proofErr w:type="gramEnd"/>
            <w:r w:rsidR="008278A0" w:rsidRPr="008278A0">
              <w:rPr>
                <w:rFonts w:eastAsia="標楷體" w:hint="eastAsia"/>
                <w:sz w:val="23"/>
                <w:szCs w:val="23"/>
              </w:rPr>
              <w:t>係</w:t>
            </w:r>
            <w:r w:rsidR="003F6EE9" w:rsidRPr="003F6EE9">
              <w:rPr>
                <w:rFonts w:eastAsia="標楷體" w:hint="eastAsia"/>
                <w:sz w:val="23"/>
                <w:szCs w:val="23"/>
              </w:rPr>
              <w:t>數位血壓計、可攜式心電圖記錄器</w:t>
            </w:r>
            <w:r w:rsidR="008278A0" w:rsidRPr="008278A0">
              <w:rPr>
                <w:rFonts w:eastAsia="標楷體" w:hint="eastAsia"/>
                <w:sz w:val="23"/>
                <w:szCs w:val="23"/>
              </w:rPr>
              <w:t>。上述公司與該公司經營性質較為相近，</w:t>
            </w:r>
            <w:proofErr w:type="gramStart"/>
            <w:r w:rsidR="00C57B0A" w:rsidRPr="00A70B8B">
              <w:rPr>
                <w:rFonts w:eastAsia="標楷體" w:hint="eastAsia"/>
                <w:sz w:val="23"/>
                <w:szCs w:val="23"/>
              </w:rPr>
              <w:t>因此</w:t>
            </w:r>
            <w:r w:rsidR="00C57B0A" w:rsidRPr="00A70B8B">
              <w:rPr>
                <w:rFonts w:eastAsia="標楷體"/>
              </w:rPr>
              <w:t>茲</w:t>
            </w:r>
            <w:proofErr w:type="gramEnd"/>
            <w:r w:rsidR="00C57B0A" w:rsidRPr="00A70B8B">
              <w:rPr>
                <w:rFonts w:eastAsia="標楷體"/>
              </w:rPr>
              <w:t>就</w:t>
            </w:r>
            <w:r w:rsidR="003F6EE9" w:rsidRPr="003F6EE9">
              <w:rPr>
                <w:rFonts w:eastAsia="標楷體" w:hint="eastAsia"/>
              </w:rPr>
              <w:t>上述</w:t>
            </w:r>
            <w:proofErr w:type="gramStart"/>
            <w:r w:rsidR="00DE5C82" w:rsidRPr="00DE5C82">
              <w:rPr>
                <w:rFonts w:eastAsia="標楷體" w:hint="eastAsia"/>
              </w:rPr>
              <w:t>採</w:t>
            </w:r>
            <w:proofErr w:type="gramEnd"/>
            <w:r w:rsidR="00DE5C82" w:rsidRPr="00DE5C82">
              <w:rPr>
                <w:rFonts w:eastAsia="標楷體" w:hint="eastAsia"/>
              </w:rPr>
              <w:t>樣同業與上</w:t>
            </w:r>
            <w:r w:rsidR="0064711C">
              <w:rPr>
                <w:rFonts w:eastAsia="標楷體" w:hint="eastAsia"/>
              </w:rPr>
              <w:t>市</w:t>
            </w:r>
            <w:r w:rsidR="00DE5C82" w:rsidRPr="00DE5C82">
              <w:rPr>
                <w:rFonts w:eastAsia="標楷體" w:hint="eastAsia"/>
              </w:rPr>
              <w:t>櫃生技醫療類股</w:t>
            </w:r>
            <w:r w:rsidR="003F6EE9" w:rsidRPr="00A70B8B">
              <w:rPr>
                <w:rFonts w:eastAsia="標楷體"/>
              </w:rPr>
              <w:t>最近三個月</w:t>
            </w:r>
            <w:r w:rsidR="003F6EE9" w:rsidRPr="00A70B8B">
              <w:rPr>
                <w:rFonts w:eastAsia="標楷體"/>
              </w:rPr>
              <w:t>(104</w:t>
            </w:r>
            <w:r w:rsidR="003F6EE9" w:rsidRPr="00A70B8B">
              <w:rPr>
                <w:rFonts w:eastAsia="標楷體"/>
              </w:rPr>
              <w:t>年</w:t>
            </w:r>
            <w:r w:rsidR="003F6EE9">
              <w:rPr>
                <w:rFonts w:eastAsia="標楷體" w:hint="eastAsia"/>
              </w:rPr>
              <w:t>9</w:t>
            </w:r>
            <w:r w:rsidR="003F6EE9" w:rsidRPr="00A70B8B">
              <w:rPr>
                <w:rFonts w:eastAsia="標楷體"/>
              </w:rPr>
              <w:t>月</w:t>
            </w:r>
            <w:r w:rsidR="003F6EE9" w:rsidRPr="00A70B8B">
              <w:rPr>
                <w:rFonts w:eastAsia="標楷體"/>
              </w:rPr>
              <w:t>~104</w:t>
            </w:r>
            <w:r w:rsidR="003F6EE9" w:rsidRPr="00A70B8B">
              <w:rPr>
                <w:rFonts w:eastAsia="標楷體"/>
              </w:rPr>
              <w:t>年</w:t>
            </w:r>
            <w:r w:rsidR="003F6EE9">
              <w:rPr>
                <w:rFonts w:eastAsia="標楷體" w:hint="eastAsia"/>
              </w:rPr>
              <w:t>11</w:t>
            </w:r>
            <w:r w:rsidR="003F6EE9" w:rsidRPr="00A70B8B">
              <w:rPr>
                <w:rFonts w:eastAsia="標楷體"/>
              </w:rPr>
              <w:t>月</w:t>
            </w:r>
            <w:r w:rsidR="003F6EE9" w:rsidRPr="00A70B8B">
              <w:rPr>
                <w:rFonts w:eastAsia="標楷體"/>
              </w:rPr>
              <w:t>)</w:t>
            </w:r>
            <w:r w:rsidR="003F6EE9" w:rsidRPr="003F6EE9">
              <w:rPr>
                <w:rFonts w:eastAsia="標楷體" w:hint="eastAsia"/>
              </w:rPr>
              <w:t>之本益</w:t>
            </w:r>
            <w:proofErr w:type="gramStart"/>
            <w:r w:rsidR="003F6EE9" w:rsidRPr="003F6EE9">
              <w:rPr>
                <w:rFonts w:eastAsia="標楷體" w:hint="eastAsia"/>
              </w:rPr>
              <w:t>比列</w:t>
            </w:r>
            <w:proofErr w:type="gramEnd"/>
            <w:r w:rsidR="003F6EE9" w:rsidRPr="003F6EE9">
              <w:rPr>
                <w:rFonts w:eastAsia="標楷體" w:hint="eastAsia"/>
              </w:rPr>
              <w:t>示說明如下</w:t>
            </w:r>
            <w:r w:rsidR="00C57B0A" w:rsidRPr="00A70B8B">
              <w:rPr>
                <w:rFonts w:eastAsia="標楷體"/>
              </w:rPr>
              <w:t>：</w:t>
            </w:r>
          </w:p>
          <w:p w:rsidR="003F6EE9" w:rsidRPr="004C5F2F" w:rsidRDefault="003F6EE9" w:rsidP="003F6EE9">
            <w:pPr>
              <w:ind w:leftChars="250" w:left="600" w:rightChars="73" w:right="175" w:firstLineChars="200" w:firstLine="400"/>
              <w:jc w:val="right"/>
              <w:rPr>
                <w:rFonts w:eastAsia="標楷體"/>
                <w:sz w:val="20"/>
                <w:szCs w:val="20"/>
              </w:rPr>
            </w:pPr>
            <w:r w:rsidRPr="00A70B8B">
              <w:rPr>
                <w:rFonts w:eastAsia="標楷體"/>
                <w:sz w:val="20"/>
                <w:szCs w:val="20"/>
              </w:rPr>
              <w:t>單位：倍</w:t>
            </w:r>
          </w:p>
          <w:tbl>
            <w:tblPr>
              <w:tblW w:w="7059" w:type="dxa"/>
              <w:tblInd w:w="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276"/>
              <w:gridCol w:w="1275"/>
              <w:gridCol w:w="1250"/>
              <w:gridCol w:w="1287"/>
            </w:tblGrid>
            <w:tr w:rsidR="003F6EE9" w:rsidTr="00FF4941">
              <w:trPr>
                <w:trHeight w:val="571"/>
              </w:trPr>
              <w:tc>
                <w:tcPr>
                  <w:tcW w:w="1971" w:type="dxa"/>
                  <w:vAlign w:val="center"/>
                  <w:hideMark/>
                </w:tcPr>
                <w:p w:rsidR="003F6EE9" w:rsidRDefault="00A41A47" w:rsidP="0036208E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證券名稱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F6EE9" w:rsidRDefault="003F6EE9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9</w:t>
                  </w:r>
                  <w:r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3F6EE9" w:rsidRDefault="003F6EE9" w:rsidP="003F6EE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50" w:type="dxa"/>
                  <w:vAlign w:val="center"/>
                  <w:hideMark/>
                </w:tcPr>
                <w:p w:rsidR="003F6EE9" w:rsidRDefault="003F6EE9" w:rsidP="003F6EE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11</w:t>
                  </w:r>
                  <w:r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87" w:type="dxa"/>
                  <w:vAlign w:val="center"/>
                </w:tcPr>
                <w:p w:rsidR="003F6EE9" w:rsidRPr="003F6EE9" w:rsidRDefault="003F6EE9" w:rsidP="003F6EE9">
                  <w:pPr>
                    <w:snapToGrid w:val="0"/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平均</w:t>
                  </w:r>
                </w:p>
              </w:tc>
            </w:tr>
            <w:tr w:rsidR="003F6EE9" w:rsidTr="00FF4941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3F6EE9" w:rsidRPr="003F6EE9" w:rsidRDefault="003F6EE9" w:rsidP="003F6EE9">
                  <w:pPr>
                    <w:snapToGrid w:val="0"/>
                    <w:rPr>
                      <w:rFonts w:eastAsia="標楷體" w:hAnsi="標楷體"/>
                    </w:rPr>
                  </w:pPr>
                  <w:bookmarkStart w:id="2" w:name="_Hlk301777702"/>
                  <w:proofErr w:type="gramStart"/>
                  <w:r w:rsidRPr="003F6EE9">
                    <w:rPr>
                      <w:rFonts w:eastAsia="標楷體" w:hAnsi="標楷體" w:hint="eastAsia"/>
                    </w:rPr>
                    <w:t>鈺</w:t>
                  </w:r>
                  <w:proofErr w:type="gramEnd"/>
                  <w:r w:rsidRPr="003F6EE9">
                    <w:rPr>
                      <w:rFonts w:eastAsia="標楷體" w:hAnsi="標楷體" w:hint="eastAsia"/>
                    </w:rPr>
                    <w:t>緯</w:t>
                  </w:r>
                  <w:r>
                    <w:rPr>
                      <w:rFonts w:eastAsia="標楷體" w:hAnsi="標楷體" w:hint="eastAsia"/>
                    </w:rPr>
                    <w:t>(4153)</w:t>
                  </w:r>
                </w:p>
              </w:tc>
              <w:tc>
                <w:tcPr>
                  <w:tcW w:w="1276" w:type="dxa"/>
                  <w:vAlign w:val="center"/>
                </w:tcPr>
                <w:p w:rsidR="003F6EE9" w:rsidRDefault="005764CC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764CC">
                    <w:rPr>
                      <w:rFonts w:eastAsia="標楷體"/>
                    </w:rPr>
                    <w:t>16.76</w:t>
                  </w:r>
                </w:p>
              </w:tc>
              <w:tc>
                <w:tcPr>
                  <w:tcW w:w="1275" w:type="dxa"/>
                  <w:vAlign w:val="center"/>
                </w:tcPr>
                <w:p w:rsidR="003F6EE9" w:rsidRDefault="005764CC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764CC">
                    <w:rPr>
                      <w:rFonts w:eastAsia="標楷體"/>
                    </w:rPr>
                    <w:t>19.03</w:t>
                  </w:r>
                </w:p>
              </w:tc>
              <w:tc>
                <w:tcPr>
                  <w:tcW w:w="1250" w:type="dxa"/>
                  <w:vAlign w:val="center"/>
                </w:tcPr>
                <w:p w:rsidR="003F6EE9" w:rsidRDefault="005764CC" w:rsidP="0036208E">
                  <w:pPr>
                    <w:jc w:val="center"/>
                    <w:rPr>
                      <w:color w:val="000000"/>
                    </w:rPr>
                  </w:pPr>
                  <w:r w:rsidRPr="005764CC">
                    <w:rPr>
                      <w:color w:val="000000"/>
                    </w:rPr>
                    <w:t>18.81</w:t>
                  </w:r>
                </w:p>
              </w:tc>
              <w:tc>
                <w:tcPr>
                  <w:tcW w:w="1287" w:type="dxa"/>
                </w:tcPr>
                <w:p w:rsidR="003F6EE9" w:rsidRDefault="005764CC" w:rsidP="003620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18.20</w:t>
                  </w:r>
                </w:p>
              </w:tc>
            </w:tr>
            <w:tr w:rsidR="003F6EE9" w:rsidTr="00FF4941">
              <w:trPr>
                <w:trHeight w:val="335"/>
              </w:trPr>
              <w:tc>
                <w:tcPr>
                  <w:tcW w:w="1971" w:type="dxa"/>
                  <w:vAlign w:val="center"/>
                </w:tcPr>
                <w:p w:rsidR="003F6EE9" w:rsidRPr="003F6EE9" w:rsidRDefault="003F6EE9" w:rsidP="003F6EE9">
                  <w:pPr>
                    <w:snapToGrid w:val="0"/>
                    <w:rPr>
                      <w:rFonts w:eastAsia="標楷體" w:hAnsi="標楷體"/>
                    </w:rPr>
                  </w:pPr>
                  <w:proofErr w:type="gramStart"/>
                  <w:r w:rsidRPr="003F6EE9">
                    <w:rPr>
                      <w:rFonts w:eastAsia="標楷體" w:hAnsi="標楷體" w:hint="eastAsia"/>
                    </w:rPr>
                    <w:t>鐿</w:t>
                  </w:r>
                  <w:proofErr w:type="gramEnd"/>
                  <w:r w:rsidRPr="003F6EE9">
                    <w:rPr>
                      <w:rFonts w:eastAsia="標楷體" w:hAnsi="標楷體" w:hint="eastAsia"/>
                    </w:rPr>
                    <w:t>鈦</w:t>
                  </w:r>
                  <w:r>
                    <w:rPr>
                      <w:rFonts w:eastAsia="標楷體" w:hAnsi="標楷體" w:hint="eastAsia"/>
                    </w:rPr>
                    <w:t>(4163)</w:t>
                  </w:r>
                </w:p>
              </w:tc>
              <w:tc>
                <w:tcPr>
                  <w:tcW w:w="1276" w:type="dxa"/>
                  <w:vAlign w:val="center"/>
                </w:tcPr>
                <w:p w:rsidR="003F6EE9" w:rsidRDefault="005764CC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764CC">
                    <w:rPr>
                      <w:rFonts w:eastAsia="標楷體"/>
                    </w:rPr>
                    <w:t>16.08</w:t>
                  </w:r>
                </w:p>
              </w:tc>
              <w:tc>
                <w:tcPr>
                  <w:tcW w:w="1275" w:type="dxa"/>
                  <w:vAlign w:val="center"/>
                </w:tcPr>
                <w:p w:rsidR="003F6EE9" w:rsidRDefault="005764CC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764CC">
                    <w:rPr>
                      <w:rFonts w:eastAsia="標楷體"/>
                    </w:rPr>
                    <w:t>15.93</w:t>
                  </w:r>
                </w:p>
              </w:tc>
              <w:tc>
                <w:tcPr>
                  <w:tcW w:w="1250" w:type="dxa"/>
                  <w:vAlign w:val="center"/>
                </w:tcPr>
                <w:p w:rsidR="003F6EE9" w:rsidRDefault="005764CC" w:rsidP="0036208E">
                  <w:pPr>
                    <w:jc w:val="center"/>
                    <w:rPr>
                      <w:color w:val="000000"/>
                    </w:rPr>
                  </w:pPr>
                  <w:r w:rsidRPr="005764CC">
                    <w:rPr>
                      <w:color w:val="000000"/>
                    </w:rPr>
                    <w:t>18.28</w:t>
                  </w:r>
                </w:p>
              </w:tc>
              <w:tc>
                <w:tcPr>
                  <w:tcW w:w="1287" w:type="dxa"/>
                </w:tcPr>
                <w:p w:rsidR="003F6EE9" w:rsidRDefault="005764CC" w:rsidP="003620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16.76</w:t>
                  </w:r>
                </w:p>
              </w:tc>
            </w:tr>
            <w:tr w:rsidR="003F6EE9" w:rsidTr="00FF4941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3F6EE9" w:rsidRPr="003F6EE9" w:rsidRDefault="003F6EE9" w:rsidP="003F6EE9">
                  <w:pPr>
                    <w:snapToGrid w:val="0"/>
                    <w:rPr>
                      <w:rFonts w:eastAsia="標楷體" w:hAnsi="標楷體"/>
                    </w:rPr>
                  </w:pPr>
                  <w:r w:rsidRPr="003F6EE9">
                    <w:rPr>
                      <w:rFonts w:eastAsia="標楷體" w:hAnsi="標楷體" w:hint="eastAsia"/>
                    </w:rPr>
                    <w:t>百略</w:t>
                  </w:r>
                  <w:r>
                    <w:rPr>
                      <w:rFonts w:eastAsia="標楷體" w:hAnsi="標楷體" w:hint="eastAsia"/>
                    </w:rPr>
                    <w:t>(4103)</w:t>
                  </w:r>
                </w:p>
              </w:tc>
              <w:tc>
                <w:tcPr>
                  <w:tcW w:w="1276" w:type="dxa"/>
                  <w:vAlign w:val="center"/>
                </w:tcPr>
                <w:p w:rsidR="003F6EE9" w:rsidRDefault="005764CC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764CC">
                    <w:rPr>
                      <w:rFonts w:eastAsia="標楷體"/>
                    </w:rPr>
                    <w:t>14.22</w:t>
                  </w:r>
                </w:p>
              </w:tc>
              <w:tc>
                <w:tcPr>
                  <w:tcW w:w="1275" w:type="dxa"/>
                  <w:vAlign w:val="center"/>
                </w:tcPr>
                <w:p w:rsidR="003F6EE9" w:rsidRDefault="005764CC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764CC">
                    <w:rPr>
                      <w:rFonts w:eastAsia="標楷體"/>
                    </w:rPr>
                    <w:t>13.96</w:t>
                  </w:r>
                </w:p>
              </w:tc>
              <w:tc>
                <w:tcPr>
                  <w:tcW w:w="1250" w:type="dxa"/>
                  <w:vAlign w:val="center"/>
                </w:tcPr>
                <w:p w:rsidR="003F6EE9" w:rsidRDefault="005764CC" w:rsidP="0036208E">
                  <w:pPr>
                    <w:jc w:val="center"/>
                    <w:rPr>
                      <w:color w:val="000000"/>
                    </w:rPr>
                  </w:pPr>
                  <w:r w:rsidRPr="005764CC">
                    <w:rPr>
                      <w:color w:val="000000"/>
                    </w:rPr>
                    <w:t>14.98</w:t>
                  </w:r>
                </w:p>
              </w:tc>
              <w:tc>
                <w:tcPr>
                  <w:tcW w:w="1287" w:type="dxa"/>
                </w:tcPr>
                <w:p w:rsidR="003F6EE9" w:rsidRDefault="00A41A47" w:rsidP="003620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14.39</w:t>
                  </w:r>
                </w:p>
              </w:tc>
            </w:tr>
            <w:tr w:rsidR="003F6EE9" w:rsidTr="00FF4941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3F6EE9" w:rsidRPr="003F6EE9" w:rsidRDefault="003F6EE9" w:rsidP="003F6EE9">
                  <w:pPr>
                    <w:snapToGrid w:val="0"/>
                    <w:rPr>
                      <w:rFonts w:eastAsia="標楷體" w:hAnsi="標楷體"/>
                    </w:rPr>
                  </w:pPr>
                  <w:r w:rsidRPr="003F6EE9">
                    <w:rPr>
                      <w:rFonts w:eastAsia="標楷體" w:hAnsi="標楷體" w:hint="eastAsia"/>
                    </w:rPr>
                    <w:t>泰博</w:t>
                  </w:r>
                  <w:r>
                    <w:rPr>
                      <w:rFonts w:eastAsia="標楷體" w:hAnsi="標楷體" w:hint="eastAsia"/>
                    </w:rPr>
                    <w:t>(4736)</w:t>
                  </w:r>
                </w:p>
              </w:tc>
              <w:tc>
                <w:tcPr>
                  <w:tcW w:w="1276" w:type="dxa"/>
                  <w:vAlign w:val="center"/>
                </w:tcPr>
                <w:p w:rsidR="003F6EE9" w:rsidRDefault="00A41A47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A41A47">
                    <w:rPr>
                      <w:rFonts w:eastAsia="標楷體"/>
                    </w:rPr>
                    <w:t>16.00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F6EE9" w:rsidRDefault="00A41A47" w:rsidP="003620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A41A47">
                    <w:rPr>
                      <w:rFonts w:eastAsia="標楷體"/>
                    </w:rPr>
                    <w:t>17.69</w:t>
                  </w:r>
                </w:p>
              </w:tc>
              <w:tc>
                <w:tcPr>
                  <w:tcW w:w="1250" w:type="dxa"/>
                  <w:vAlign w:val="center"/>
                </w:tcPr>
                <w:p w:rsidR="003F6EE9" w:rsidRDefault="00A41A47" w:rsidP="0036208E">
                  <w:pPr>
                    <w:jc w:val="center"/>
                    <w:rPr>
                      <w:color w:val="000000"/>
                    </w:rPr>
                  </w:pPr>
                  <w:r w:rsidRPr="00A41A47">
                    <w:rPr>
                      <w:color w:val="000000"/>
                    </w:rPr>
                    <w:t>18.34</w:t>
                  </w:r>
                </w:p>
              </w:tc>
              <w:tc>
                <w:tcPr>
                  <w:tcW w:w="1287" w:type="dxa"/>
                </w:tcPr>
                <w:p w:rsidR="003F6EE9" w:rsidRDefault="00A41A47" w:rsidP="003620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17.34</w:t>
                  </w:r>
                </w:p>
              </w:tc>
            </w:tr>
            <w:tr w:rsidR="0064711C" w:rsidTr="001063F0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64711C" w:rsidRPr="003F6EE9" w:rsidRDefault="0064711C" w:rsidP="001063F0">
                  <w:pPr>
                    <w:snapToGrid w:val="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生技醫療類</w:t>
                  </w:r>
                  <w:r>
                    <w:rPr>
                      <w:rFonts w:eastAsia="標楷體" w:hAnsi="標楷體" w:hint="eastAsia"/>
                    </w:rPr>
                    <w:t>(</w:t>
                  </w:r>
                  <w:r>
                    <w:rPr>
                      <w:rFonts w:eastAsia="標楷體" w:hAnsi="標楷體" w:hint="eastAsia"/>
                    </w:rPr>
                    <w:t>上櫃</w:t>
                  </w:r>
                  <w:r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64711C" w:rsidRDefault="0064711C" w:rsidP="001063F0">
                  <w:pPr>
                    <w:jc w:val="center"/>
                  </w:pPr>
                  <w:r>
                    <w:t>124.73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11C" w:rsidRDefault="0064711C" w:rsidP="001063F0">
                  <w:pPr>
                    <w:jc w:val="center"/>
                  </w:pPr>
                  <w:r>
                    <w:t>126.79</w:t>
                  </w:r>
                </w:p>
              </w:tc>
              <w:tc>
                <w:tcPr>
                  <w:tcW w:w="1250" w:type="dxa"/>
                  <w:vAlign w:val="center"/>
                </w:tcPr>
                <w:p w:rsidR="0064711C" w:rsidRDefault="0064711C" w:rsidP="001063F0">
                  <w:pPr>
                    <w:jc w:val="center"/>
                  </w:pPr>
                  <w:r>
                    <w:t>151.90</w:t>
                  </w:r>
                </w:p>
              </w:tc>
              <w:tc>
                <w:tcPr>
                  <w:tcW w:w="1287" w:type="dxa"/>
                </w:tcPr>
                <w:p w:rsidR="0064711C" w:rsidRDefault="0064711C" w:rsidP="001063F0">
                  <w:pPr>
                    <w:jc w:val="center"/>
                    <w:rPr>
                      <w:color w:val="000000"/>
                    </w:rPr>
                  </w:pPr>
                  <w:r w:rsidRPr="00A41A47">
                    <w:rPr>
                      <w:color w:val="000000"/>
                    </w:rPr>
                    <w:t>134.47</w:t>
                  </w:r>
                </w:p>
              </w:tc>
            </w:tr>
            <w:tr w:rsidR="0064711C" w:rsidTr="001063F0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64711C" w:rsidRPr="003F6EE9" w:rsidRDefault="0064711C" w:rsidP="003F6EE9">
                  <w:pPr>
                    <w:snapToGrid w:val="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生技醫療類</w:t>
                  </w:r>
                  <w:r>
                    <w:rPr>
                      <w:rFonts w:eastAsia="標楷體" w:hAnsi="標楷體" w:hint="eastAsia"/>
                    </w:rPr>
                    <w:t>(</w:t>
                  </w:r>
                  <w:r>
                    <w:rPr>
                      <w:rFonts w:eastAsia="標楷體" w:hAnsi="標楷體" w:hint="eastAsia"/>
                    </w:rPr>
                    <w:t>上市</w:t>
                  </w:r>
                  <w:r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28.29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32.21</w:t>
                  </w:r>
                </w:p>
              </w:tc>
              <w:tc>
                <w:tcPr>
                  <w:tcW w:w="1250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35.69</w:t>
                  </w:r>
                </w:p>
              </w:tc>
              <w:tc>
                <w:tcPr>
                  <w:tcW w:w="1287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32.06</w:t>
                  </w:r>
                </w:p>
              </w:tc>
            </w:tr>
          </w:tbl>
          <w:bookmarkEnd w:id="2"/>
          <w:p w:rsidR="003F6EE9" w:rsidRPr="00A70B8B" w:rsidRDefault="003F6EE9" w:rsidP="003F6EE9">
            <w:pPr>
              <w:adjustRightInd w:val="0"/>
              <w:snapToGrid w:val="0"/>
              <w:spacing w:line="240" w:lineRule="exact"/>
              <w:ind w:firstLineChars="358" w:firstLine="716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A70B8B">
              <w:rPr>
                <w:rFonts w:eastAsia="標楷體"/>
                <w:sz w:val="20"/>
                <w:szCs w:val="20"/>
              </w:rPr>
              <w:t>資料來源：財團法人中華民國證券櫃檯買賣中心及</w:t>
            </w:r>
            <w:r w:rsidRPr="00A70B8B">
              <w:rPr>
                <w:rFonts w:eastAsia="標楷體" w:hint="eastAsia"/>
                <w:sz w:val="20"/>
                <w:szCs w:val="20"/>
              </w:rPr>
              <w:t>台灣</w:t>
            </w:r>
            <w:r w:rsidRPr="00A70B8B">
              <w:rPr>
                <w:rFonts w:eastAsia="標楷體"/>
                <w:sz w:val="20"/>
                <w:szCs w:val="20"/>
              </w:rPr>
              <w:t>證券交易所網站</w:t>
            </w:r>
          </w:p>
          <w:p w:rsidR="003F6EE9" w:rsidRPr="00A70B8B" w:rsidRDefault="003F6EE9" w:rsidP="00C57B0A">
            <w:pPr>
              <w:ind w:leftChars="309" w:left="742" w:firstLineChars="236" w:firstLine="566"/>
              <w:jc w:val="both"/>
              <w:rPr>
                <w:rFonts w:eastAsia="標楷體"/>
              </w:rPr>
            </w:pPr>
          </w:p>
          <w:p w:rsidR="00C57B0A" w:rsidRDefault="00C57B0A" w:rsidP="00C57B0A">
            <w:pPr>
              <w:ind w:leftChars="309" w:left="742" w:firstLineChars="200" w:firstLine="480"/>
              <w:jc w:val="both"/>
              <w:rPr>
                <w:rFonts w:eastAsia="標楷體"/>
              </w:rPr>
            </w:pPr>
            <w:r w:rsidRPr="00A70B8B">
              <w:rPr>
                <w:rFonts w:eastAsia="標楷體"/>
              </w:rPr>
              <w:t>依上表所示，</w:t>
            </w:r>
            <w:proofErr w:type="gramStart"/>
            <w:r w:rsidR="0064711C">
              <w:rPr>
                <w:rFonts w:eastAsia="標楷體" w:hint="eastAsia"/>
              </w:rPr>
              <w:t>採</w:t>
            </w:r>
            <w:proofErr w:type="gramEnd"/>
            <w:r w:rsidR="0064711C">
              <w:rPr>
                <w:rFonts w:eastAsia="標楷體" w:hint="eastAsia"/>
              </w:rPr>
              <w:t>樣同業與</w:t>
            </w:r>
            <w:r w:rsidRPr="00A70B8B">
              <w:rPr>
                <w:rFonts w:eastAsia="標楷體"/>
              </w:rPr>
              <w:t>上市</w:t>
            </w:r>
            <w:r w:rsidR="0064711C">
              <w:rPr>
                <w:rFonts w:eastAsia="標楷體" w:hint="eastAsia"/>
              </w:rPr>
              <w:t>櫃生技醫療</w:t>
            </w:r>
            <w:r w:rsidRPr="00A70B8B">
              <w:rPr>
                <w:rFonts w:eastAsia="標楷體"/>
              </w:rPr>
              <w:t>類股最近三個月</w:t>
            </w:r>
            <w:r w:rsidRPr="00A70B8B">
              <w:rPr>
                <w:rFonts w:eastAsia="標楷體"/>
              </w:rPr>
              <w:t>(104</w:t>
            </w:r>
            <w:r w:rsidRPr="00A70B8B">
              <w:rPr>
                <w:rFonts w:eastAsia="標楷體"/>
              </w:rPr>
              <w:t>年</w:t>
            </w:r>
            <w:r w:rsidR="0066211D">
              <w:rPr>
                <w:rFonts w:eastAsia="標楷體" w:hint="eastAsia"/>
              </w:rPr>
              <w:t>9</w:t>
            </w:r>
            <w:r w:rsidRPr="00A70B8B">
              <w:rPr>
                <w:rFonts w:eastAsia="標楷體"/>
              </w:rPr>
              <w:t>月</w:t>
            </w:r>
            <w:r w:rsidRPr="00A70B8B">
              <w:rPr>
                <w:rFonts w:eastAsia="標楷體"/>
              </w:rPr>
              <w:t>~104</w:t>
            </w:r>
            <w:r w:rsidRPr="00A70B8B">
              <w:rPr>
                <w:rFonts w:eastAsia="標楷體"/>
              </w:rPr>
              <w:t>年</w:t>
            </w:r>
            <w:r w:rsidR="0066211D">
              <w:rPr>
                <w:rFonts w:eastAsia="標楷體" w:hint="eastAsia"/>
              </w:rPr>
              <w:t>11</w:t>
            </w:r>
            <w:r w:rsidRPr="00A70B8B">
              <w:rPr>
                <w:rFonts w:eastAsia="標楷體"/>
              </w:rPr>
              <w:t>月</w:t>
            </w:r>
            <w:r w:rsidRPr="00A70B8B">
              <w:rPr>
                <w:rFonts w:eastAsia="標楷體"/>
              </w:rPr>
              <w:t>)</w:t>
            </w:r>
            <w:r w:rsidRPr="00A70B8B">
              <w:rPr>
                <w:rFonts w:eastAsia="標楷體"/>
              </w:rPr>
              <w:t>平均本益比在</w:t>
            </w:r>
            <w:r w:rsidR="00A41A47">
              <w:rPr>
                <w:rFonts w:eastAsia="標楷體" w:hint="eastAsia"/>
              </w:rPr>
              <w:t>14</w:t>
            </w:r>
            <w:r w:rsidRPr="00A70B8B">
              <w:rPr>
                <w:rFonts w:eastAsia="標楷體"/>
              </w:rPr>
              <w:t>.</w:t>
            </w:r>
            <w:r w:rsidR="00A41A47">
              <w:rPr>
                <w:rFonts w:eastAsia="標楷體" w:hint="eastAsia"/>
              </w:rPr>
              <w:t>39</w:t>
            </w:r>
            <w:r w:rsidRPr="00A70B8B">
              <w:rPr>
                <w:rFonts w:eastAsia="標楷體"/>
              </w:rPr>
              <w:t>~</w:t>
            </w:r>
            <w:r w:rsidR="00FD3193">
              <w:rPr>
                <w:rFonts w:eastAsia="標楷體" w:hint="eastAsia"/>
              </w:rPr>
              <w:t>1</w:t>
            </w:r>
            <w:r w:rsidRPr="00A70B8B">
              <w:rPr>
                <w:rFonts w:eastAsia="標楷體"/>
              </w:rPr>
              <w:t>3</w:t>
            </w:r>
            <w:r w:rsidRPr="006F7935">
              <w:rPr>
                <w:rFonts w:eastAsia="標楷體"/>
              </w:rPr>
              <w:t>4.</w:t>
            </w:r>
            <w:r w:rsidR="00FD3193">
              <w:rPr>
                <w:rFonts w:eastAsia="標楷體" w:hint="eastAsia"/>
              </w:rPr>
              <w:t>47</w:t>
            </w:r>
            <w:r w:rsidRPr="006F7935">
              <w:rPr>
                <w:rFonts w:eastAsia="標楷體"/>
              </w:rPr>
              <w:t>倍之間。</w:t>
            </w:r>
            <w:r w:rsidR="0064711C">
              <w:rPr>
                <w:rFonts w:eastAsia="標楷體" w:hint="eastAsia"/>
              </w:rPr>
              <w:t>因上櫃生技醫療類股本益比較大，</w:t>
            </w:r>
            <w:r w:rsidR="0064711C" w:rsidRPr="0064711C">
              <w:rPr>
                <w:rFonts w:eastAsia="標楷體" w:hint="eastAsia"/>
              </w:rPr>
              <w:t>去除</w:t>
            </w:r>
            <w:r w:rsidR="0064711C">
              <w:rPr>
                <w:rFonts w:eastAsia="標楷體" w:hint="eastAsia"/>
              </w:rPr>
              <w:t>該</w:t>
            </w:r>
            <w:proofErr w:type="gramStart"/>
            <w:r w:rsidR="0064711C" w:rsidRPr="0064711C">
              <w:rPr>
                <w:rFonts w:eastAsia="標楷體" w:hint="eastAsia"/>
              </w:rPr>
              <w:t>極端值後</w:t>
            </w:r>
            <w:proofErr w:type="gramEnd"/>
            <w:r w:rsidR="0064711C">
              <w:rPr>
                <w:rFonts w:eastAsia="標楷體" w:hint="eastAsia"/>
              </w:rPr>
              <w:t>，</w:t>
            </w:r>
            <w:r w:rsidRPr="006F7935">
              <w:rPr>
                <w:rFonts w:eastAsia="標楷體"/>
              </w:rPr>
              <w:t>以該公司截至</w:t>
            </w:r>
            <w:proofErr w:type="gramStart"/>
            <w:r w:rsidRPr="006F7935">
              <w:rPr>
                <w:rFonts w:eastAsia="標楷體"/>
              </w:rPr>
              <w:t>103</w:t>
            </w:r>
            <w:proofErr w:type="gramEnd"/>
            <w:r w:rsidRPr="006F7935">
              <w:rPr>
                <w:rFonts w:eastAsia="標楷體"/>
              </w:rPr>
              <w:t>年度之稅後每股盈餘</w:t>
            </w:r>
            <w:r w:rsidR="00FD3193" w:rsidRPr="00FD3193">
              <w:rPr>
                <w:rFonts w:eastAsia="標楷體"/>
              </w:rPr>
              <w:t>6.47</w:t>
            </w:r>
            <w:r w:rsidRPr="006F7935">
              <w:rPr>
                <w:rFonts w:eastAsia="標楷體"/>
              </w:rPr>
              <w:t>元做為參考依據，價格區間約為</w:t>
            </w:r>
            <w:r w:rsidR="00A41A47" w:rsidRPr="00A41A47">
              <w:rPr>
                <w:rFonts w:eastAsia="標楷體" w:hint="eastAsia"/>
              </w:rPr>
              <w:t>93</w:t>
            </w:r>
            <w:r w:rsidRPr="00A41A47">
              <w:rPr>
                <w:rFonts w:eastAsia="標楷體"/>
              </w:rPr>
              <w:t>.</w:t>
            </w:r>
            <w:r w:rsidR="00A41A47" w:rsidRPr="00A41A47">
              <w:rPr>
                <w:rFonts w:eastAsia="標楷體" w:hint="eastAsia"/>
              </w:rPr>
              <w:t>10</w:t>
            </w:r>
            <w:r w:rsidRPr="00A41A47">
              <w:rPr>
                <w:rFonts w:eastAsia="標楷體"/>
              </w:rPr>
              <w:t>~</w:t>
            </w:r>
            <w:r w:rsidR="0064711C">
              <w:rPr>
                <w:rFonts w:eastAsia="標楷體" w:hint="eastAsia"/>
              </w:rPr>
              <w:t>207</w:t>
            </w:r>
            <w:r w:rsidRPr="00A41A47">
              <w:rPr>
                <w:rFonts w:eastAsia="標楷體"/>
              </w:rPr>
              <w:t>.</w:t>
            </w:r>
            <w:r w:rsidR="0064711C">
              <w:rPr>
                <w:rFonts w:eastAsia="標楷體" w:hint="eastAsia"/>
              </w:rPr>
              <w:t>43</w:t>
            </w:r>
            <w:r w:rsidRPr="006F7935">
              <w:rPr>
                <w:rFonts w:eastAsia="標楷體"/>
              </w:rPr>
              <w:t>元。</w:t>
            </w:r>
            <w:proofErr w:type="gramStart"/>
            <w:r w:rsidR="001175E9">
              <w:rPr>
                <w:rFonts w:eastAsia="標楷體"/>
              </w:rPr>
              <w:t>醫</w:t>
            </w:r>
            <w:proofErr w:type="gramEnd"/>
            <w:r w:rsidR="001175E9">
              <w:rPr>
                <w:rFonts w:eastAsia="標楷體"/>
              </w:rPr>
              <w:t>揚</w:t>
            </w:r>
            <w:r w:rsidRPr="006F7935">
              <w:rPr>
                <w:rFonts w:eastAsia="標楷體"/>
              </w:rPr>
              <w:t>核心產品</w:t>
            </w:r>
            <w:proofErr w:type="gramStart"/>
            <w:r w:rsidR="00FD3193">
              <w:rPr>
                <w:rFonts w:eastAsia="標楷體" w:hint="eastAsia"/>
              </w:rPr>
              <w:t>─</w:t>
            </w:r>
            <w:proofErr w:type="gramEnd"/>
            <w:r w:rsidR="00FD3193">
              <w:rPr>
                <w:rFonts w:eastAsia="標楷體" w:hint="eastAsia"/>
              </w:rPr>
              <w:t>生理監測系列產品</w:t>
            </w:r>
            <w:r w:rsidR="00FD3193">
              <w:rPr>
                <w:rFonts w:eastAsia="標楷體" w:hint="eastAsia"/>
              </w:rPr>
              <w:t>(</w:t>
            </w:r>
            <w:r w:rsidR="00FD3193" w:rsidRPr="00FD3193">
              <w:rPr>
                <w:rFonts w:eastAsia="標楷體"/>
              </w:rPr>
              <w:t>Critical Care Monitoring</w:t>
            </w:r>
            <w:r w:rsidR="00FD3193">
              <w:rPr>
                <w:rFonts w:eastAsia="標楷體" w:hint="eastAsia"/>
              </w:rPr>
              <w:t>)</w:t>
            </w:r>
            <w:r w:rsidR="00FD3193">
              <w:rPr>
                <w:rFonts w:eastAsia="標楷體" w:hint="eastAsia"/>
              </w:rPr>
              <w:t>，於歐美地區銷售反應良好，</w:t>
            </w:r>
            <w:r w:rsidRPr="006F7935">
              <w:rPr>
                <w:rFonts w:eastAsia="標楷體"/>
              </w:rPr>
              <w:t>業績逐年成長，該公司</w:t>
            </w:r>
            <w:r w:rsidRPr="006F7935">
              <w:rPr>
                <w:rFonts w:eastAsia="標楷體"/>
              </w:rPr>
              <w:t>104</w:t>
            </w:r>
            <w:r w:rsidRPr="006F7935">
              <w:rPr>
                <w:rFonts w:eastAsia="標楷體"/>
              </w:rPr>
              <w:t>年截至</w:t>
            </w:r>
            <w:r w:rsidR="00FD3193">
              <w:rPr>
                <w:rFonts w:eastAsia="標楷體" w:hint="eastAsia"/>
              </w:rPr>
              <w:t>11</w:t>
            </w:r>
            <w:r w:rsidRPr="006F7935">
              <w:rPr>
                <w:rFonts w:eastAsia="標楷體"/>
              </w:rPr>
              <w:t>月底之</w:t>
            </w:r>
            <w:r w:rsidR="0064711C">
              <w:rPr>
                <w:rFonts w:eastAsia="標楷體" w:hint="eastAsia"/>
              </w:rPr>
              <w:t>合併</w:t>
            </w:r>
            <w:r w:rsidRPr="006F7935">
              <w:rPr>
                <w:rFonts w:eastAsia="標楷體"/>
              </w:rPr>
              <w:t>營收為</w:t>
            </w:r>
            <w:r w:rsidR="00FD3193">
              <w:rPr>
                <w:rFonts w:eastAsia="標楷體" w:hint="eastAsia"/>
              </w:rPr>
              <w:t>842</w:t>
            </w:r>
            <w:r w:rsidRPr="006F7935">
              <w:rPr>
                <w:rFonts w:eastAsia="標楷體"/>
              </w:rPr>
              <w:t>,</w:t>
            </w:r>
            <w:r w:rsidR="00FD3193">
              <w:rPr>
                <w:rFonts w:eastAsia="標楷體" w:hint="eastAsia"/>
              </w:rPr>
              <w:t>944</w:t>
            </w:r>
            <w:r w:rsidRPr="006F7935">
              <w:rPr>
                <w:rFonts w:eastAsia="標楷體"/>
              </w:rPr>
              <w:t>仟元，</w:t>
            </w:r>
            <w:r w:rsidRPr="000C558E">
              <w:rPr>
                <w:rFonts w:eastAsia="標楷體"/>
              </w:rPr>
              <w:t>較去年同期成長</w:t>
            </w:r>
            <w:r w:rsidR="000C558E" w:rsidRPr="000C558E">
              <w:rPr>
                <w:rFonts w:eastAsia="標楷體" w:hint="eastAsia"/>
              </w:rPr>
              <w:t>19</w:t>
            </w:r>
            <w:r w:rsidRPr="000C558E">
              <w:rPr>
                <w:rFonts w:eastAsia="標楷體" w:hint="eastAsia"/>
              </w:rPr>
              <w:t>.</w:t>
            </w:r>
            <w:r w:rsidR="000C558E" w:rsidRPr="000C558E">
              <w:rPr>
                <w:rFonts w:eastAsia="標楷體" w:hint="eastAsia"/>
              </w:rPr>
              <w:t>58</w:t>
            </w:r>
            <w:r w:rsidRPr="000C558E">
              <w:rPr>
                <w:rFonts w:eastAsia="標楷體"/>
              </w:rPr>
              <w:t>%</w:t>
            </w:r>
            <w:r w:rsidRPr="006F7935">
              <w:rPr>
                <w:rFonts w:eastAsia="標楷體"/>
              </w:rPr>
              <w:t>。經</w:t>
            </w:r>
            <w:proofErr w:type="gramStart"/>
            <w:r w:rsidRPr="006F7935">
              <w:rPr>
                <w:rFonts w:eastAsia="標楷體"/>
              </w:rPr>
              <w:t>考量興櫃市場</w:t>
            </w:r>
            <w:proofErr w:type="gramEnd"/>
            <w:r w:rsidRPr="006F7935">
              <w:rPr>
                <w:rFonts w:eastAsia="標楷體"/>
              </w:rPr>
              <w:t>流動性不足及</w:t>
            </w:r>
            <w:proofErr w:type="gramStart"/>
            <w:r w:rsidRPr="006F7935">
              <w:rPr>
                <w:rFonts w:eastAsia="標楷體"/>
              </w:rPr>
              <w:t>興櫃、</w:t>
            </w:r>
            <w:proofErr w:type="gramEnd"/>
            <w:r w:rsidRPr="006F7935">
              <w:rPr>
                <w:rFonts w:eastAsia="標楷體"/>
              </w:rPr>
              <w:t>上櫃擬掛牌股本、持有時間、發行市場環境及產業前景變化等風險後，以上述每股合理股價區間</w:t>
            </w:r>
            <w:r w:rsidRPr="006F7935">
              <w:rPr>
                <w:rFonts w:eastAsia="標楷體"/>
              </w:rPr>
              <w:t>9</w:t>
            </w:r>
            <w:r w:rsidRPr="006F7935">
              <w:rPr>
                <w:rFonts w:eastAsia="標楷體"/>
              </w:rPr>
              <w:t>折調整價格區間</w:t>
            </w:r>
            <w:r w:rsidR="006A1F4F" w:rsidRPr="0064711C">
              <w:rPr>
                <w:rFonts w:eastAsia="標楷體" w:hint="eastAsia"/>
              </w:rPr>
              <w:t>83</w:t>
            </w:r>
            <w:r w:rsidRPr="0064711C">
              <w:rPr>
                <w:rFonts w:eastAsia="標楷體"/>
              </w:rPr>
              <w:t>.</w:t>
            </w:r>
            <w:r w:rsidR="006A1F4F" w:rsidRPr="0064711C">
              <w:rPr>
                <w:rFonts w:eastAsia="標楷體" w:hint="eastAsia"/>
              </w:rPr>
              <w:t>79</w:t>
            </w:r>
            <w:r w:rsidRPr="0064711C">
              <w:rPr>
                <w:rFonts w:eastAsia="標楷體"/>
              </w:rPr>
              <w:t>~</w:t>
            </w:r>
            <w:r w:rsidR="0064711C" w:rsidRPr="0064711C">
              <w:rPr>
                <w:rFonts w:eastAsia="標楷體" w:hint="eastAsia"/>
              </w:rPr>
              <w:t>186</w:t>
            </w:r>
            <w:r w:rsidRPr="0064711C">
              <w:rPr>
                <w:rFonts w:eastAsia="標楷體"/>
              </w:rPr>
              <w:t>.</w:t>
            </w:r>
            <w:r w:rsidR="0064711C" w:rsidRPr="0064711C">
              <w:rPr>
                <w:rFonts w:eastAsia="標楷體" w:hint="eastAsia"/>
              </w:rPr>
              <w:t>69</w:t>
            </w:r>
            <w:r w:rsidRPr="0064711C">
              <w:rPr>
                <w:rFonts w:eastAsia="標楷體"/>
              </w:rPr>
              <w:t>元</w:t>
            </w:r>
            <w:r w:rsidRPr="006F7935">
              <w:rPr>
                <w:rFonts w:eastAsia="標楷體"/>
              </w:rPr>
              <w:t>，最後由本推薦券商考量與</w:t>
            </w:r>
            <w:proofErr w:type="gramStart"/>
            <w:r w:rsidR="001175E9">
              <w:rPr>
                <w:rFonts w:eastAsia="標楷體"/>
              </w:rPr>
              <w:t>醫</w:t>
            </w:r>
            <w:proofErr w:type="gramEnd"/>
            <w:r w:rsidR="001175E9">
              <w:rPr>
                <w:rFonts w:eastAsia="標楷體"/>
              </w:rPr>
              <w:t>揚</w:t>
            </w:r>
            <w:r w:rsidRPr="006F7935">
              <w:rPr>
                <w:rFonts w:eastAsia="標楷體"/>
              </w:rPr>
              <w:t>議定每股價格</w:t>
            </w:r>
            <w:r w:rsidR="006A1F4F">
              <w:rPr>
                <w:rFonts w:eastAsia="標楷體" w:hint="eastAsia"/>
              </w:rPr>
              <w:t>112</w:t>
            </w:r>
            <w:r w:rsidRPr="006F7935">
              <w:rPr>
                <w:rFonts w:eastAsia="標楷體"/>
              </w:rPr>
              <w:t>元</w:t>
            </w:r>
            <w:proofErr w:type="gramStart"/>
            <w:r w:rsidRPr="006F7935">
              <w:rPr>
                <w:rFonts w:eastAsia="標楷體"/>
              </w:rPr>
              <w:t>作為興櫃認購</w:t>
            </w:r>
            <w:proofErr w:type="gramEnd"/>
            <w:r w:rsidRPr="006F7935">
              <w:rPr>
                <w:rFonts w:eastAsia="標楷體"/>
              </w:rPr>
              <w:t>價格，應尚屬合理。</w:t>
            </w:r>
          </w:p>
          <w:p w:rsidR="00C57B0A" w:rsidRPr="006F7935" w:rsidRDefault="00C57B0A" w:rsidP="00C57B0A">
            <w:pPr>
              <w:ind w:leftChars="-5" w:left="-12" w:firstLineChars="255" w:firstLine="612"/>
              <w:jc w:val="both"/>
              <w:rPr>
                <w:rFonts w:eastAsia="標楷體" w:hAnsi="標楷體"/>
              </w:rPr>
            </w:pPr>
            <w:r w:rsidRPr="006F7935">
              <w:rPr>
                <w:rFonts w:eastAsia="標楷體" w:hAnsi="標楷體" w:hint="eastAsia"/>
              </w:rPr>
              <w:lastRenderedPageBreak/>
              <w:t>2.</w:t>
            </w:r>
            <w:r w:rsidRPr="006F7935">
              <w:rPr>
                <w:rFonts w:eastAsia="標楷體" w:hAnsi="標楷體" w:hint="eastAsia"/>
              </w:rPr>
              <w:t>股價淨值比法</w:t>
            </w:r>
          </w:p>
          <w:p w:rsidR="00FF4941" w:rsidRDefault="00C57B0A" w:rsidP="00C57B0A">
            <w:pPr>
              <w:ind w:leftChars="300" w:left="720" w:firstLineChars="200" w:firstLine="480"/>
              <w:jc w:val="both"/>
              <w:rPr>
                <w:rFonts w:eastAsia="標楷體"/>
                <w:kern w:val="0"/>
              </w:rPr>
            </w:pPr>
            <w:r w:rsidRPr="006F7935">
              <w:rPr>
                <w:rFonts w:eastAsia="標楷體" w:hint="eastAsia"/>
                <w:kern w:val="0"/>
              </w:rPr>
              <w:t>取得</w:t>
            </w:r>
            <w:proofErr w:type="gramStart"/>
            <w:r w:rsidR="00DE5C82" w:rsidRPr="00DE5C82">
              <w:rPr>
                <w:rFonts w:eastAsia="標楷體" w:hint="eastAsia"/>
                <w:kern w:val="0"/>
              </w:rPr>
              <w:t>採</w:t>
            </w:r>
            <w:proofErr w:type="gramEnd"/>
            <w:r w:rsidR="00DE5C82" w:rsidRPr="00DE5C82">
              <w:rPr>
                <w:rFonts w:eastAsia="標楷體" w:hint="eastAsia"/>
                <w:kern w:val="0"/>
              </w:rPr>
              <w:t>樣同業與上</w:t>
            </w:r>
            <w:r w:rsidR="0064711C">
              <w:rPr>
                <w:rFonts w:eastAsia="標楷體" w:hint="eastAsia"/>
                <w:kern w:val="0"/>
              </w:rPr>
              <w:t>市</w:t>
            </w:r>
            <w:r w:rsidR="00DE5C82" w:rsidRPr="00DE5C82">
              <w:rPr>
                <w:rFonts w:eastAsia="標楷體" w:hint="eastAsia"/>
                <w:kern w:val="0"/>
              </w:rPr>
              <w:t>櫃生技醫療類股</w:t>
            </w:r>
            <w:r w:rsidRPr="006F7935">
              <w:rPr>
                <w:rFonts w:eastAsia="標楷體"/>
                <w:bCs/>
                <w:kern w:val="0"/>
                <w:lang w:val="en-GB"/>
              </w:rPr>
              <w:t>10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4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年</w:t>
            </w:r>
            <w:r w:rsidR="00FF4941">
              <w:rPr>
                <w:rFonts w:eastAsia="標楷體" w:hint="eastAsia"/>
                <w:bCs/>
                <w:kern w:val="0"/>
                <w:lang w:val="en-GB"/>
              </w:rPr>
              <w:t>9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月至</w:t>
            </w:r>
            <w:r w:rsidRPr="006F7935">
              <w:rPr>
                <w:rFonts w:eastAsia="標楷體"/>
                <w:bCs/>
                <w:kern w:val="0"/>
                <w:lang w:val="en-GB"/>
              </w:rPr>
              <w:t>104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年</w:t>
            </w:r>
            <w:r w:rsidR="00FF4941">
              <w:rPr>
                <w:rFonts w:eastAsia="標楷體" w:hint="eastAsia"/>
                <w:bCs/>
                <w:kern w:val="0"/>
                <w:lang w:val="en-GB"/>
              </w:rPr>
              <w:t>11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月</w:t>
            </w:r>
            <w:r w:rsidRPr="006F7935">
              <w:rPr>
                <w:rFonts w:eastAsia="標楷體" w:hint="eastAsia"/>
                <w:kern w:val="0"/>
              </w:rPr>
              <w:t>之平均股價淨值比，得出</w:t>
            </w:r>
            <w:proofErr w:type="gramStart"/>
            <w:r w:rsidR="005E4E4A" w:rsidRPr="005E4E4A">
              <w:rPr>
                <w:rFonts w:eastAsia="標楷體" w:hint="eastAsia"/>
                <w:kern w:val="0"/>
              </w:rPr>
              <w:t>採</w:t>
            </w:r>
            <w:proofErr w:type="gramEnd"/>
            <w:r w:rsidR="005E4E4A" w:rsidRPr="005E4E4A">
              <w:rPr>
                <w:rFonts w:eastAsia="標楷體" w:hint="eastAsia"/>
                <w:kern w:val="0"/>
              </w:rPr>
              <w:t>樣同業</w:t>
            </w:r>
            <w:r w:rsidRPr="006F7935">
              <w:rPr>
                <w:rFonts w:eastAsia="標楷體" w:hint="eastAsia"/>
                <w:kern w:val="0"/>
              </w:rPr>
              <w:t>之股價淨值比區間，再按</w:t>
            </w:r>
            <w:proofErr w:type="gramStart"/>
            <w:r w:rsidR="001175E9">
              <w:rPr>
                <w:rFonts w:eastAsia="標楷體" w:hint="eastAsia"/>
                <w:kern w:val="0"/>
              </w:rPr>
              <w:t>醫</w:t>
            </w:r>
            <w:proofErr w:type="gramEnd"/>
            <w:r w:rsidR="001175E9">
              <w:rPr>
                <w:rFonts w:eastAsia="標楷體" w:hint="eastAsia"/>
                <w:kern w:val="0"/>
              </w:rPr>
              <w:t>揚</w:t>
            </w:r>
            <w:r w:rsidRPr="006F7935">
              <w:rPr>
                <w:rFonts w:eastAsia="標楷體"/>
                <w:kern w:val="0"/>
              </w:rPr>
              <w:t>103</w:t>
            </w:r>
            <w:r w:rsidRPr="006F7935">
              <w:rPr>
                <w:rFonts w:eastAsia="標楷體" w:hint="eastAsia"/>
                <w:kern w:val="0"/>
              </w:rPr>
              <w:t>年底每股淨值推算價格區間。</w:t>
            </w:r>
            <w:proofErr w:type="gramStart"/>
            <w:r w:rsidR="005E4E4A" w:rsidRPr="005E4E4A">
              <w:rPr>
                <w:rFonts w:eastAsia="標楷體" w:hint="eastAsia"/>
                <w:kern w:val="0"/>
              </w:rPr>
              <w:t>採</w:t>
            </w:r>
            <w:proofErr w:type="gramEnd"/>
            <w:r w:rsidR="005E4E4A" w:rsidRPr="005E4E4A">
              <w:rPr>
                <w:rFonts w:eastAsia="標楷體" w:hint="eastAsia"/>
                <w:kern w:val="0"/>
              </w:rPr>
              <w:t>樣同業</w:t>
            </w:r>
            <w:r w:rsidR="0064711C">
              <w:rPr>
                <w:rFonts w:eastAsia="標楷體" w:hint="eastAsia"/>
                <w:kern w:val="0"/>
              </w:rPr>
              <w:t>與上市櫃生技醫療類股</w:t>
            </w:r>
            <w:r w:rsidRPr="006F7935">
              <w:rPr>
                <w:rFonts w:eastAsia="標楷體"/>
                <w:bCs/>
                <w:kern w:val="0"/>
                <w:lang w:val="en-GB"/>
              </w:rPr>
              <w:t>10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4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年</w:t>
            </w:r>
            <w:r w:rsidR="00FF4941">
              <w:rPr>
                <w:rFonts w:eastAsia="標楷體" w:hint="eastAsia"/>
                <w:bCs/>
                <w:kern w:val="0"/>
                <w:lang w:val="en-GB"/>
              </w:rPr>
              <w:t>9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月至</w:t>
            </w:r>
            <w:r w:rsidRPr="006F7935">
              <w:rPr>
                <w:rFonts w:eastAsia="標楷體"/>
                <w:bCs/>
                <w:kern w:val="0"/>
                <w:lang w:val="en-GB"/>
              </w:rPr>
              <w:t>104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年</w:t>
            </w:r>
            <w:r w:rsidR="00FF4941">
              <w:rPr>
                <w:rFonts w:eastAsia="標楷體" w:hint="eastAsia"/>
                <w:bCs/>
                <w:kern w:val="0"/>
                <w:lang w:val="en-GB"/>
              </w:rPr>
              <w:t>11</w:t>
            </w:r>
            <w:r w:rsidRPr="006F7935">
              <w:rPr>
                <w:rFonts w:eastAsia="標楷體" w:hint="eastAsia"/>
                <w:bCs/>
                <w:kern w:val="0"/>
                <w:lang w:val="en-GB"/>
              </w:rPr>
              <w:t>月</w:t>
            </w:r>
            <w:r w:rsidRPr="006F7935">
              <w:rPr>
                <w:rFonts w:eastAsia="標楷體" w:hint="eastAsia"/>
                <w:kern w:val="0"/>
              </w:rPr>
              <w:t>股價淨值比資訊如下：</w:t>
            </w:r>
          </w:p>
          <w:p w:rsidR="00C57B0A" w:rsidRDefault="00FF4941" w:rsidP="005E4E4A">
            <w:pPr>
              <w:ind w:leftChars="300" w:left="720" w:rightChars="73" w:right="175" w:firstLineChars="200" w:firstLine="400"/>
              <w:jc w:val="right"/>
              <w:rPr>
                <w:rFonts w:eastAsia="標楷體"/>
                <w:kern w:val="0"/>
              </w:rPr>
            </w:pPr>
            <w:r w:rsidRPr="006F7935">
              <w:rPr>
                <w:rFonts w:eastAsia="標楷體"/>
                <w:sz w:val="20"/>
                <w:szCs w:val="20"/>
              </w:rPr>
              <w:t>單位：倍</w:t>
            </w:r>
          </w:p>
          <w:tbl>
            <w:tblPr>
              <w:tblW w:w="7059" w:type="dxa"/>
              <w:tblInd w:w="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276"/>
              <w:gridCol w:w="1275"/>
              <w:gridCol w:w="1250"/>
              <w:gridCol w:w="1287"/>
            </w:tblGrid>
            <w:tr w:rsidR="00FF4941" w:rsidTr="00FF4941">
              <w:trPr>
                <w:trHeight w:val="571"/>
              </w:trPr>
              <w:tc>
                <w:tcPr>
                  <w:tcW w:w="1971" w:type="dxa"/>
                  <w:vAlign w:val="center"/>
                  <w:hideMark/>
                </w:tcPr>
                <w:p w:rsidR="00FF4941" w:rsidRDefault="00FF4941" w:rsidP="001063F0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證券名稱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FF4941" w:rsidRDefault="00FF4941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9</w:t>
                  </w:r>
                  <w:r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FF4941" w:rsidRDefault="00FF4941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50" w:type="dxa"/>
                  <w:vAlign w:val="center"/>
                  <w:hideMark/>
                </w:tcPr>
                <w:p w:rsidR="00FF4941" w:rsidRDefault="00FF4941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11</w:t>
                  </w:r>
                  <w:r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87" w:type="dxa"/>
                  <w:vAlign w:val="center"/>
                </w:tcPr>
                <w:p w:rsidR="00FF4941" w:rsidRPr="003F6EE9" w:rsidRDefault="00FF4941" w:rsidP="001063F0">
                  <w:pPr>
                    <w:snapToGrid w:val="0"/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平均</w:t>
                  </w:r>
                </w:p>
              </w:tc>
            </w:tr>
            <w:tr w:rsidR="00FF4941" w:rsidTr="00FF4941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FF4941" w:rsidRPr="003F6EE9" w:rsidRDefault="00FF4941" w:rsidP="001063F0">
                  <w:pPr>
                    <w:snapToGrid w:val="0"/>
                    <w:rPr>
                      <w:rFonts w:eastAsia="標楷體" w:hAnsi="標楷體"/>
                    </w:rPr>
                  </w:pPr>
                  <w:proofErr w:type="gramStart"/>
                  <w:r w:rsidRPr="003F6EE9">
                    <w:rPr>
                      <w:rFonts w:eastAsia="標楷體" w:hAnsi="標楷體" w:hint="eastAsia"/>
                    </w:rPr>
                    <w:t>鈺</w:t>
                  </w:r>
                  <w:proofErr w:type="gramEnd"/>
                  <w:r w:rsidRPr="003F6EE9">
                    <w:rPr>
                      <w:rFonts w:eastAsia="標楷體" w:hAnsi="標楷體" w:hint="eastAsia"/>
                    </w:rPr>
                    <w:t>緯</w:t>
                  </w:r>
                  <w:r>
                    <w:rPr>
                      <w:rFonts w:eastAsia="標楷體" w:hAnsi="標楷體" w:hint="eastAsia"/>
                    </w:rPr>
                    <w:t>(4153)</w:t>
                  </w:r>
                </w:p>
              </w:tc>
              <w:tc>
                <w:tcPr>
                  <w:tcW w:w="1276" w:type="dxa"/>
                  <w:vAlign w:val="center"/>
                </w:tcPr>
                <w:p w:rsidR="00FF4941" w:rsidRPr="0052743E" w:rsidRDefault="0052743E" w:rsidP="0052743E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2.53</w:t>
                  </w:r>
                </w:p>
              </w:tc>
              <w:tc>
                <w:tcPr>
                  <w:tcW w:w="1275" w:type="dxa"/>
                  <w:vAlign w:val="center"/>
                </w:tcPr>
                <w:p w:rsidR="00FF4941" w:rsidRDefault="0052743E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2743E">
                    <w:rPr>
                      <w:rFonts w:eastAsia="標楷體"/>
                    </w:rPr>
                    <w:t>2.87</w:t>
                  </w:r>
                </w:p>
              </w:tc>
              <w:tc>
                <w:tcPr>
                  <w:tcW w:w="1250" w:type="dxa"/>
                  <w:vAlign w:val="center"/>
                </w:tcPr>
                <w:p w:rsidR="00FF4941" w:rsidRDefault="0052743E" w:rsidP="001063F0">
                  <w:pPr>
                    <w:jc w:val="center"/>
                    <w:rPr>
                      <w:color w:val="000000"/>
                    </w:rPr>
                  </w:pPr>
                  <w:r w:rsidRPr="0052743E">
                    <w:rPr>
                      <w:color w:val="000000"/>
                    </w:rPr>
                    <w:t>2.90</w:t>
                  </w:r>
                </w:p>
              </w:tc>
              <w:tc>
                <w:tcPr>
                  <w:tcW w:w="1287" w:type="dxa"/>
                </w:tcPr>
                <w:p w:rsidR="00FF4941" w:rsidRDefault="00342408" w:rsidP="001063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2.77</w:t>
                  </w:r>
                </w:p>
              </w:tc>
            </w:tr>
            <w:tr w:rsidR="00FF4941" w:rsidTr="00FF4941">
              <w:trPr>
                <w:trHeight w:val="335"/>
              </w:trPr>
              <w:tc>
                <w:tcPr>
                  <w:tcW w:w="1971" w:type="dxa"/>
                  <w:vAlign w:val="center"/>
                </w:tcPr>
                <w:p w:rsidR="00FF4941" w:rsidRPr="003F6EE9" w:rsidRDefault="00FF4941" w:rsidP="001063F0">
                  <w:pPr>
                    <w:snapToGrid w:val="0"/>
                    <w:rPr>
                      <w:rFonts w:eastAsia="標楷體" w:hAnsi="標楷體"/>
                    </w:rPr>
                  </w:pPr>
                  <w:proofErr w:type="gramStart"/>
                  <w:r w:rsidRPr="003F6EE9">
                    <w:rPr>
                      <w:rFonts w:eastAsia="標楷體" w:hAnsi="標楷體" w:hint="eastAsia"/>
                    </w:rPr>
                    <w:t>鐿</w:t>
                  </w:r>
                  <w:proofErr w:type="gramEnd"/>
                  <w:r w:rsidRPr="003F6EE9">
                    <w:rPr>
                      <w:rFonts w:eastAsia="標楷體" w:hAnsi="標楷體" w:hint="eastAsia"/>
                    </w:rPr>
                    <w:t>鈦</w:t>
                  </w:r>
                  <w:r>
                    <w:rPr>
                      <w:rFonts w:eastAsia="標楷體" w:hAnsi="標楷體" w:hint="eastAsia"/>
                    </w:rPr>
                    <w:t>(4163)</w:t>
                  </w:r>
                </w:p>
              </w:tc>
              <w:tc>
                <w:tcPr>
                  <w:tcW w:w="1276" w:type="dxa"/>
                  <w:vAlign w:val="center"/>
                </w:tcPr>
                <w:p w:rsidR="00FF4941" w:rsidRDefault="00342408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42408">
                    <w:rPr>
                      <w:rFonts w:eastAsia="標楷體"/>
                    </w:rPr>
                    <w:t>3.65</w:t>
                  </w:r>
                </w:p>
              </w:tc>
              <w:tc>
                <w:tcPr>
                  <w:tcW w:w="1275" w:type="dxa"/>
                  <w:vAlign w:val="center"/>
                </w:tcPr>
                <w:p w:rsidR="00FF4941" w:rsidRDefault="00342408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42408">
                    <w:rPr>
                      <w:rFonts w:eastAsia="標楷體"/>
                    </w:rPr>
                    <w:t>3.62</w:t>
                  </w:r>
                </w:p>
              </w:tc>
              <w:tc>
                <w:tcPr>
                  <w:tcW w:w="1250" w:type="dxa"/>
                  <w:vAlign w:val="center"/>
                </w:tcPr>
                <w:p w:rsidR="00FF4941" w:rsidRPr="0052743E" w:rsidRDefault="0052743E" w:rsidP="0052743E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4.07</w:t>
                  </w:r>
                </w:p>
              </w:tc>
              <w:tc>
                <w:tcPr>
                  <w:tcW w:w="1287" w:type="dxa"/>
                </w:tcPr>
                <w:p w:rsidR="00FF4941" w:rsidRDefault="002C1E65" w:rsidP="001063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3.78</w:t>
                  </w:r>
                </w:p>
              </w:tc>
            </w:tr>
            <w:tr w:rsidR="00FF4941" w:rsidTr="00FF4941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FF4941" w:rsidRPr="003F6EE9" w:rsidRDefault="00FF4941" w:rsidP="001063F0">
                  <w:pPr>
                    <w:snapToGrid w:val="0"/>
                    <w:rPr>
                      <w:rFonts w:eastAsia="標楷體" w:hAnsi="標楷體"/>
                    </w:rPr>
                  </w:pPr>
                  <w:r w:rsidRPr="003F6EE9">
                    <w:rPr>
                      <w:rFonts w:eastAsia="標楷體" w:hAnsi="標楷體" w:hint="eastAsia"/>
                    </w:rPr>
                    <w:t>百略</w:t>
                  </w:r>
                  <w:r>
                    <w:rPr>
                      <w:rFonts w:eastAsia="標楷體" w:hAnsi="標楷體" w:hint="eastAsia"/>
                    </w:rPr>
                    <w:t>(4103)</w:t>
                  </w:r>
                </w:p>
              </w:tc>
              <w:tc>
                <w:tcPr>
                  <w:tcW w:w="1276" w:type="dxa"/>
                  <w:vAlign w:val="center"/>
                </w:tcPr>
                <w:p w:rsidR="00FF4941" w:rsidRDefault="0052743E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2743E">
                    <w:rPr>
                      <w:rFonts w:eastAsia="標楷體"/>
                    </w:rPr>
                    <w:t>3.09</w:t>
                  </w:r>
                </w:p>
              </w:tc>
              <w:tc>
                <w:tcPr>
                  <w:tcW w:w="1275" w:type="dxa"/>
                  <w:vAlign w:val="center"/>
                </w:tcPr>
                <w:p w:rsidR="00FF4941" w:rsidRDefault="0052743E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52743E">
                    <w:rPr>
                      <w:rFonts w:eastAsia="標楷體"/>
                    </w:rPr>
                    <w:t>3.03</w:t>
                  </w:r>
                </w:p>
              </w:tc>
              <w:tc>
                <w:tcPr>
                  <w:tcW w:w="1250" w:type="dxa"/>
                  <w:vAlign w:val="center"/>
                </w:tcPr>
                <w:p w:rsidR="00FF4941" w:rsidRDefault="0052743E" w:rsidP="001063F0">
                  <w:pPr>
                    <w:jc w:val="center"/>
                    <w:rPr>
                      <w:color w:val="000000"/>
                    </w:rPr>
                  </w:pPr>
                  <w:r w:rsidRPr="0052743E">
                    <w:rPr>
                      <w:color w:val="000000"/>
                    </w:rPr>
                    <w:t>3.20</w:t>
                  </w:r>
                </w:p>
              </w:tc>
              <w:tc>
                <w:tcPr>
                  <w:tcW w:w="1287" w:type="dxa"/>
                </w:tcPr>
                <w:p w:rsidR="00FF4941" w:rsidRDefault="0052743E" w:rsidP="001063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3.11</w:t>
                  </w:r>
                </w:p>
              </w:tc>
            </w:tr>
            <w:tr w:rsidR="00FF4941" w:rsidTr="00FF4941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FF4941" w:rsidRPr="003F6EE9" w:rsidRDefault="00FF4941" w:rsidP="001063F0">
                  <w:pPr>
                    <w:snapToGrid w:val="0"/>
                    <w:rPr>
                      <w:rFonts w:eastAsia="標楷體" w:hAnsi="標楷體"/>
                    </w:rPr>
                  </w:pPr>
                  <w:r w:rsidRPr="003F6EE9">
                    <w:rPr>
                      <w:rFonts w:eastAsia="標楷體" w:hAnsi="標楷體" w:hint="eastAsia"/>
                    </w:rPr>
                    <w:t>泰博</w:t>
                  </w:r>
                  <w:r>
                    <w:rPr>
                      <w:rFonts w:eastAsia="標楷體" w:hAnsi="標楷體" w:hint="eastAsia"/>
                    </w:rPr>
                    <w:t>(4736)</w:t>
                  </w:r>
                </w:p>
              </w:tc>
              <w:tc>
                <w:tcPr>
                  <w:tcW w:w="1276" w:type="dxa"/>
                  <w:vAlign w:val="center"/>
                </w:tcPr>
                <w:p w:rsidR="00FF4941" w:rsidRDefault="002C1E65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2C1E65">
                    <w:rPr>
                      <w:rFonts w:eastAsia="標楷體"/>
                    </w:rPr>
                    <w:t>2.44</w:t>
                  </w:r>
                </w:p>
              </w:tc>
              <w:tc>
                <w:tcPr>
                  <w:tcW w:w="1275" w:type="dxa"/>
                  <w:vAlign w:val="center"/>
                </w:tcPr>
                <w:p w:rsidR="00FF4941" w:rsidRDefault="002C1E65" w:rsidP="001063F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2C1E65">
                    <w:rPr>
                      <w:rFonts w:eastAsia="標楷體"/>
                    </w:rPr>
                    <w:t>2.70</w:t>
                  </w:r>
                </w:p>
              </w:tc>
              <w:tc>
                <w:tcPr>
                  <w:tcW w:w="1250" w:type="dxa"/>
                  <w:vAlign w:val="center"/>
                </w:tcPr>
                <w:p w:rsidR="00FF4941" w:rsidRDefault="002C1E65" w:rsidP="001063F0">
                  <w:pPr>
                    <w:jc w:val="center"/>
                    <w:rPr>
                      <w:color w:val="000000"/>
                    </w:rPr>
                  </w:pPr>
                  <w:r w:rsidRPr="002C1E65">
                    <w:rPr>
                      <w:color w:val="000000"/>
                    </w:rPr>
                    <w:t>2.88</w:t>
                  </w:r>
                </w:p>
              </w:tc>
              <w:tc>
                <w:tcPr>
                  <w:tcW w:w="1287" w:type="dxa"/>
                </w:tcPr>
                <w:p w:rsidR="00FF4941" w:rsidRDefault="002C1E65" w:rsidP="0064154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</w:t>
                  </w:r>
                  <w:r w:rsidR="00641546">
                    <w:rPr>
                      <w:rFonts w:hint="eastAsia"/>
                      <w:color w:val="000000"/>
                    </w:rPr>
                    <w:t>.</w:t>
                  </w:r>
                  <w:r>
                    <w:rPr>
                      <w:rFonts w:hint="eastAsia"/>
                      <w:color w:val="000000"/>
                    </w:rPr>
                    <w:t>67</w:t>
                  </w:r>
                </w:p>
              </w:tc>
            </w:tr>
            <w:tr w:rsidR="0064711C" w:rsidTr="0064711C">
              <w:trPr>
                <w:trHeight w:val="350"/>
              </w:trPr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11C" w:rsidRPr="003F6EE9" w:rsidRDefault="0064711C" w:rsidP="001063F0">
                  <w:pPr>
                    <w:snapToGrid w:val="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生技醫療類</w:t>
                  </w:r>
                  <w:r>
                    <w:rPr>
                      <w:rFonts w:eastAsia="標楷體" w:hAnsi="標楷體" w:hint="eastAsia"/>
                    </w:rPr>
                    <w:t>(</w:t>
                  </w:r>
                  <w:r>
                    <w:rPr>
                      <w:rFonts w:eastAsia="標楷體" w:hAnsi="標楷體" w:hint="eastAsia"/>
                    </w:rPr>
                    <w:t>上櫃</w:t>
                  </w:r>
                  <w:r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11C" w:rsidRPr="0064711C" w:rsidRDefault="0064711C" w:rsidP="0064711C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4711C">
                    <w:rPr>
                      <w:rFonts w:eastAsia="標楷體"/>
                    </w:rPr>
                    <w:t>3.60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11C" w:rsidRPr="0064711C" w:rsidRDefault="0064711C" w:rsidP="0064711C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4711C">
                    <w:rPr>
                      <w:rFonts w:eastAsia="標楷體"/>
                    </w:rPr>
                    <w:t>3.72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11C" w:rsidRPr="0064711C" w:rsidRDefault="0064711C" w:rsidP="001063F0">
                  <w:pPr>
                    <w:jc w:val="center"/>
                    <w:rPr>
                      <w:color w:val="000000"/>
                    </w:rPr>
                  </w:pPr>
                  <w:r w:rsidRPr="0064711C">
                    <w:rPr>
                      <w:color w:val="000000"/>
                    </w:rPr>
                    <w:t>4.73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1C" w:rsidRPr="0064711C" w:rsidRDefault="0064711C" w:rsidP="001063F0">
                  <w:pPr>
                    <w:jc w:val="center"/>
                    <w:rPr>
                      <w:color w:val="000000"/>
                    </w:rPr>
                  </w:pPr>
                  <w:r w:rsidRPr="0064711C">
                    <w:rPr>
                      <w:color w:val="000000"/>
                    </w:rPr>
                    <w:t>4.02</w:t>
                  </w:r>
                </w:p>
              </w:tc>
            </w:tr>
            <w:tr w:rsidR="0064711C" w:rsidTr="001063F0">
              <w:trPr>
                <w:trHeight w:val="350"/>
              </w:trPr>
              <w:tc>
                <w:tcPr>
                  <w:tcW w:w="1971" w:type="dxa"/>
                  <w:vAlign w:val="center"/>
                </w:tcPr>
                <w:p w:rsidR="0064711C" w:rsidRPr="003F6EE9" w:rsidRDefault="0064711C" w:rsidP="001063F0">
                  <w:pPr>
                    <w:snapToGrid w:val="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生技醫療類</w:t>
                  </w:r>
                  <w:r>
                    <w:rPr>
                      <w:rFonts w:eastAsia="標楷體" w:hAnsi="標楷體" w:hint="eastAsia"/>
                    </w:rPr>
                    <w:t>(</w:t>
                  </w:r>
                  <w:r>
                    <w:rPr>
                      <w:rFonts w:eastAsia="標楷體" w:hAnsi="標楷體" w:hint="eastAsia"/>
                    </w:rPr>
                    <w:t>上市</w:t>
                  </w:r>
                  <w:r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2.18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2.48</w:t>
                  </w:r>
                </w:p>
              </w:tc>
              <w:tc>
                <w:tcPr>
                  <w:tcW w:w="1250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2.78</w:t>
                  </w:r>
                </w:p>
              </w:tc>
              <w:tc>
                <w:tcPr>
                  <w:tcW w:w="1287" w:type="dxa"/>
                  <w:vAlign w:val="center"/>
                </w:tcPr>
                <w:p w:rsidR="0064711C" w:rsidRDefault="0064711C">
                  <w:pPr>
                    <w:jc w:val="center"/>
                  </w:pPr>
                  <w:r>
                    <w:t>2.48</w:t>
                  </w:r>
                </w:p>
              </w:tc>
            </w:tr>
          </w:tbl>
          <w:p w:rsidR="00C57B0A" w:rsidRPr="006F7935" w:rsidRDefault="00C57B0A" w:rsidP="00FF4941">
            <w:pPr>
              <w:adjustRightInd w:val="0"/>
              <w:snapToGrid w:val="0"/>
              <w:spacing w:line="240" w:lineRule="exact"/>
              <w:ind w:firstLineChars="380" w:firstLine="760"/>
              <w:jc w:val="both"/>
              <w:textAlignment w:val="baseline"/>
              <w:rPr>
                <w:rFonts w:eastAsia="標楷體"/>
                <w:sz w:val="20"/>
                <w:szCs w:val="20"/>
                <w:highlight w:val="yellow"/>
              </w:rPr>
            </w:pPr>
            <w:r w:rsidRPr="006F7935">
              <w:rPr>
                <w:rFonts w:eastAsia="標楷體"/>
                <w:sz w:val="20"/>
                <w:szCs w:val="20"/>
              </w:rPr>
              <w:t>資料來源：財團法人中華民國證券櫃檯買賣中心</w:t>
            </w:r>
            <w:r w:rsidRPr="00A70B8B">
              <w:rPr>
                <w:rFonts w:eastAsia="標楷體"/>
                <w:sz w:val="20"/>
                <w:szCs w:val="20"/>
              </w:rPr>
              <w:t>及</w:t>
            </w:r>
            <w:r w:rsidRPr="00A70B8B">
              <w:rPr>
                <w:rFonts w:eastAsia="標楷體" w:hint="eastAsia"/>
                <w:sz w:val="20"/>
                <w:szCs w:val="20"/>
              </w:rPr>
              <w:t>台灣</w:t>
            </w:r>
            <w:r w:rsidRPr="00A70B8B">
              <w:rPr>
                <w:rFonts w:eastAsia="標楷體"/>
                <w:sz w:val="20"/>
                <w:szCs w:val="20"/>
              </w:rPr>
              <w:t>證券</w:t>
            </w:r>
            <w:r w:rsidRPr="006F7935">
              <w:rPr>
                <w:rFonts w:eastAsia="標楷體"/>
                <w:sz w:val="20"/>
                <w:szCs w:val="20"/>
              </w:rPr>
              <w:t>交易所網站</w:t>
            </w:r>
          </w:p>
          <w:p w:rsidR="00C57B0A" w:rsidRPr="006F7935" w:rsidRDefault="00DE5C82" w:rsidP="006A1F4F">
            <w:pPr>
              <w:ind w:leftChars="295" w:left="708" w:firstLineChars="236" w:firstLine="566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採</w:t>
            </w:r>
            <w:proofErr w:type="gramEnd"/>
            <w:r>
              <w:rPr>
                <w:rFonts w:eastAsia="標楷體" w:hint="eastAsia"/>
                <w:kern w:val="0"/>
              </w:rPr>
              <w:t>樣同業與上</w:t>
            </w:r>
            <w:r w:rsidR="0064711C">
              <w:rPr>
                <w:rFonts w:eastAsia="標楷體" w:hint="eastAsia"/>
                <w:kern w:val="0"/>
              </w:rPr>
              <w:t>市</w:t>
            </w:r>
            <w:r>
              <w:rPr>
                <w:rFonts w:eastAsia="標楷體" w:hint="eastAsia"/>
                <w:kern w:val="0"/>
              </w:rPr>
              <w:t>櫃生技醫療類股</w:t>
            </w:r>
            <w:r w:rsidR="005E4E4A" w:rsidRPr="006F7935">
              <w:rPr>
                <w:rFonts w:eastAsia="標楷體"/>
                <w:bCs/>
                <w:kern w:val="0"/>
                <w:lang w:val="en-GB"/>
              </w:rPr>
              <w:t>10</w:t>
            </w:r>
            <w:r w:rsidR="005E4E4A" w:rsidRPr="006F7935">
              <w:rPr>
                <w:rFonts w:eastAsia="標楷體" w:hint="eastAsia"/>
                <w:bCs/>
                <w:kern w:val="0"/>
                <w:lang w:val="en-GB"/>
              </w:rPr>
              <w:t>4</w:t>
            </w:r>
            <w:r w:rsidR="005E4E4A" w:rsidRPr="006F7935">
              <w:rPr>
                <w:rFonts w:eastAsia="標楷體" w:hint="eastAsia"/>
                <w:bCs/>
                <w:kern w:val="0"/>
                <w:lang w:val="en-GB"/>
              </w:rPr>
              <w:t>年</w:t>
            </w:r>
            <w:r w:rsidR="005E4E4A">
              <w:rPr>
                <w:rFonts w:eastAsia="標楷體" w:hint="eastAsia"/>
                <w:bCs/>
                <w:kern w:val="0"/>
                <w:lang w:val="en-GB"/>
              </w:rPr>
              <w:t>9</w:t>
            </w:r>
            <w:r w:rsidR="005E4E4A" w:rsidRPr="006F7935">
              <w:rPr>
                <w:rFonts w:eastAsia="標楷體" w:hint="eastAsia"/>
                <w:bCs/>
                <w:kern w:val="0"/>
                <w:lang w:val="en-GB"/>
              </w:rPr>
              <w:t>月至</w:t>
            </w:r>
            <w:r w:rsidR="005E4E4A" w:rsidRPr="006F7935">
              <w:rPr>
                <w:rFonts w:eastAsia="標楷體"/>
                <w:bCs/>
                <w:kern w:val="0"/>
                <w:lang w:val="en-GB"/>
              </w:rPr>
              <w:t>104</w:t>
            </w:r>
            <w:r w:rsidR="005E4E4A" w:rsidRPr="006F7935">
              <w:rPr>
                <w:rFonts w:eastAsia="標楷體" w:hint="eastAsia"/>
                <w:bCs/>
                <w:kern w:val="0"/>
                <w:lang w:val="en-GB"/>
              </w:rPr>
              <w:t>年</w:t>
            </w:r>
            <w:r w:rsidR="005E4E4A">
              <w:rPr>
                <w:rFonts w:eastAsia="標楷體" w:hint="eastAsia"/>
                <w:bCs/>
                <w:kern w:val="0"/>
                <w:lang w:val="en-GB"/>
              </w:rPr>
              <w:t>11</w:t>
            </w:r>
            <w:r w:rsidR="005E4E4A" w:rsidRPr="006F7935">
              <w:rPr>
                <w:rFonts w:eastAsia="標楷體" w:hint="eastAsia"/>
                <w:bCs/>
                <w:kern w:val="0"/>
                <w:lang w:val="en-GB"/>
              </w:rPr>
              <w:t>月</w:t>
            </w:r>
            <w:r w:rsidR="00C57B0A" w:rsidRPr="006F7935">
              <w:rPr>
                <w:rFonts w:eastAsia="標楷體" w:hint="eastAsia"/>
                <w:kern w:val="0"/>
              </w:rPr>
              <w:t>之平均股價淨值比為</w:t>
            </w:r>
            <w:r w:rsidR="00973859">
              <w:rPr>
                <w:rFonts w:eastAsia="標楷體" w:hint="eastAsia"/>
                <w:kern w:val="0"/>
              </w:rPr>
              <w:t>2</w:t>
            </w:r>
            <w:r w:rsidR="00C57B0A" w:rsidRPr="006F7935">
              <w:rPr>
                <w:rFonts w:eastAsia="標楷體" w:hint="eastAsia"/>
                <w:kern w:val="0"/>
              </w:rPr>
              <w:t>.</w:t>
            </w:r>
            <w:r w:rsidR="0064711C">
              <w:rPr>
                <w:rFonts w:eastAsia="標楷體" w:hint="eastAsia"/>
                <w:kern w:val="0"/>
              </w:rPr>
              <w:t>48</w:t>
            </w:r>
            <w:r w:rsidR="00C57B0A" w:rsidRPr="006F7935">
              <w:rPr>
                <w:rFonts w:eastAsia="標楷體" w:hint="eastAsia"/>
                <w:kern w:val="0"/>
              </w:rPr>
              <w:t>倍</w:t>
            </w:r>
            <w:r w:rsidR="00C57B0A" w:rsidRPr="006F7935">
              <w:rPr>
                <w:rFonts w:eastAsia="標楷體"/>
                <w:kern w:val="0"/>
              </w:rPr>
              <w:t>~</w:t>
            </w:r>
            <w:r w:rsidR="00C57B0A" w:rsidRPr="006F7935">
              <w:rPr>
                <w:rFonts w:eastAsia="標楷體" w:hint="eastAsia"/>
                <w:kern w:val="0"/>
              </w:rPr>
              <w:t>4.</w:t>
            </w:r>
            <w:r w:rsidR="00973859">
              <w:rPr>
                <w:rFonts w:eastAsia="標楷體" w:hint="eastAsia"/>
                <w:kern w:val="0"/>
              </w:rPr>
              <w:t>02</w:t>
            </w:r>
            <w:r w:rsidR="00C57B0A" w:rsidRPr="006F7935">
              <w:rPr>
                <w:rFonts w:eastAsia="標楷體" w:hint="eastAsia"/>
                <w:kern w:val="0"/>
              </w:rPr>
              <w:t>倍。</w:t>
            </w:r>
            <w:r w:rsidR="00973859" w:rsidRPr="00973859">
              <w:rPr>
                <w:rFonts w:eastAsia="標楷體" w:hint="eastAsia"/>
                <w:kern w:val="0"/>
              </w:rPr>
              <w:t>若以醫</w:t>
            </w:r>
            <w:r w:rsidR="00973859">
              <w:rPr>
                <w:rFonts w:eastAsia="標楷體" w:hint="eastAsia"/>
                <w:kern w:val="0"/>
              </w:rPr>
              <w:t>揚</w:t>
            </w:r>
            <w:r w:rsidR="00973859">
              <w:rPr>
                <w:rFonts w:eastAsia="標楷體" w:hint="eastAsia"/>
                <w:kern w:val="0"/>
              </w:rPr>
              <w:t>103</w:t>
            </w:r>
            <w:r w:rsidR="00973859">
              <w:rPr>
                <w:rFonts w:eastAsia="標楷體" w:hint="eastAsia"/>
                <w:kern w:val="0"/>
              </w:rPr>
              <w:t>年度</w:t>
            </w:r>
            <w:r w:rsidR="00345AD7">
              <w:rPr>
                <w:rFonts w:eastAsia="標楷體" w:hint="eastAsia"/>
                <w:kern w:val="0"/>
              </w:rPr>
              <w:t>分派後</w:t>
            </w:r>
            <w:r w:rsidR="00973859">
              <w:rPr>
                <w:rFonts w:eastAsia="標楷體" w:hint="eastAsia"/>
                <w:kern w:val="0"/>
              </w:rPr>
              <w:t>之</w:t>
            </w:r>
            <w:r w:rsidR="00973859" w:rsidRPr="00973859">
              <w:rPr>
                <w:rFonts w:eastAsia="標楷體" w:hint="eastAsia"/>
                <w:kern w:val="0"/>
              </w:rPr>
              <w:t>每股淨值</w:t>
            </w:r>
            <w:r w:rsidR="00345AD7" w:rsidRPr="00345AD7">
              <w:rPr>
                <w:rFonts w:eastAsia="標楷體" w:hint="eastAsia"/>
                <w:kern w:val="0"/>
              </w:rPr>
              <w:t>13.75</w:t>
            </w:r>
            <w:r w:rsidR="006A1F4F">
              <w:rPr>
                <w:rFonts w:eastAsia="標楷體" w:hint="eastAsia"/>
                <w:kern w:val="0"/>
              </w:rPr>
              <w:t>元計算，參考價格區間為每股</w:t>
            </w:r>
            <w:r w:rsidR="00345AD7" w:rsidRPr="00345AD7">
              <w:rPr>
                <w:rFonts w:eastAsia="標楷體" w:hint="eastAsia"/>
                <w:kern w:val="0"/>
              </w:rPr>
              <w:t>34.10</w:t>
            </w:r>
            <w:r w:rsidR="00345AD7" w:rsidRPr="00345AD7">
              <w:rPr>
                <w:rFonts w:eastAsia="標楷體" w:hint="eastAsia"/>
                <w:kern w:val="0"/>
              </w:rPr>
              <w:t>元</w:t>
            </w:r>
            <w:r w:rsidR="00345AD7" w:rsidRPr="00345AD7">
              <w:rPr>
                <w:rFonts w:eastAsia="標楷體" w:hint="eastAsia"/>
                <w:kern w:val="0"/>
              </w:rPr>
              <w:t>~55.28</w:t>
            </w:r>
            <w:bookmarkStart w:id="3" w:name="_GoBack"/>
            <w:bookmarkEnd w:id="3"/>
            <w:r w:rsidR="006A1F4F">
              <w:rPr>
                <w:rFonts w:eastAsia="標楷體" w:hint="eastAsia"/>
                <w:kern w:val="0"/>
              </w:rPr>
              <w:t>元。</w:t>
            </w:r>
            <w:r w:rsidR="006A1F4F" w:rsidRPr="006A1F4F">
              <w:rPr>
                <w:rFonts w:eastAsia="標楷體" w:hAnsi="標楷體" w:hint="eastAsia"/>
              </w:rPr>
              <w:t>由於股價淨值比係以歷史成本為計算依據，受經營期間長短及盈餘分配政策、股東權益結構等因素影響</w:t>
            </w:r>
            <w:r w:rsidR="006A1F4F">
              <w:rPr>
                <w:rFonts w:eastAsia="標楷體" w:hAnsi="標楷體" w:hint="eastAsia"/>
              </w:rPr>
              <w:t>，</w:t>
            </w:r>
            <w:r w:rsidR="006A1F4F" w:rsidRPr="006A1F4F">
              <w:rPr>
                <w:rFonts w:eastAsia="標楷體" w:hAnsi="標楷體" w:hint="eastAsia"/>
              </w:rPr>
              <w:t>並未考量公司成長性，故</w:t>
            </w:r>
            <w:r w:rsidR="006A1F4F">
              <w:rPr>
                <w:rFonts w:eastAsia="標楷體" w:hAnsi="標楷體" w:hint="eastAsia"/>
              </w:rPr>
              <w:t>不擬</w:t>
            </w:r>
            <w:r w:rsidR="006A1F4F" w:rsidRPr="006A1F4F">
              <w:rPr>
                <w:rFonts w:eastAsia="標楷體" w:hAnsi="標楷體" w:hint="eastAsia"/>
              </w:rPr>
              <w:t>以此法來</w:t>
            </w:r>
            <w:proofErr w:type="gramStart"/>
            <w:r w:rsidR="006A1F4F" w:rsidRPr="006A1F4F">
              <w:rPr>
                <w:rFonts w:eastAsia="標楷體" w:hAnsi="標楷體" w:hint="eastAsia"/>
              </w:rPr>
              <w:t>計算</w:t>
            </w:r>
            <w:r w:rsidR="006A1F4F">
              <w:rPr>
                <w:rFonts w:eastAsia="標楷體" w:hAnsi="標楷體" w:hint="eastAsia"/>
              </w:rPr>
              <w:t>興櫃</w:t>
            </w:r>
            <w:r w:rsidR="006A1F4F" w:rsidRPr="006A1F4F">
              <w:rPr>
                <w:rFonts w:eastAsia="標楷體" w:hAnsi="標楷體" w:hint="eastAsia"/>
              </w:rPr>
              <w:t>價格</w:t>
            </w:r>
            <w:proofErr w:type="gramEnd"/>
            <w:r w:rsidR="00C57B0A" w:rsidRPr="006F7935">
              <w:rPr>
                <w:rFonts w:eastAsia="標楷體" w:hAnsi="標楷體" w:hint="eastAsia"/>
              </w:rPr>
              <w:t>。</w:t>
            </w:r>
          </w:p>
          <w:p w:rsidR="00C57B0A" w:rsidRPr="006F7935" w:rsidRDefault="00C57B0A" w:rsidP="00C57B0A">
            <w:pPr>
              <w:ind w:firstLineChars="126" w:firstLine="302"/>
              <w:jc w:val="both"/>
              <w:rPr>
                <w:rFonts w:eastAsia="標楷體"/>
              </w:rPr>
            </w:pPr>
            <w:r w:rsidRPr="006F7935">
              <w:rPr>
                <w:rFonts w:eastAsia="標楷體"/>
              </w:rPr>
              <w:t>(</w:t>
            </w:r>
            <w:r w:rsidRPr="006F7935">
              <w:rPr>
                <w:rFonts w:eastAsia="標楷體" w:hint="eastAsia"/>
              </w:rPr>
              <w:t>二</w:t>
            </w:r>
            <w:r w:rsidRPr="006F7935">
              <w:rPr>
                <w:rFonts w:eastAsia="標楷體"/>
              </w:rPr>
              <w:t>)</w:t>
            </w:r>
            <w:r w:rsidRPr="006F7935">
              <w:rPr>
                <w:rFonts w:eastAsia="標楷體"/>
              </w:rPr>
              <w:t>成本</w:t>
            </w:r>
            <w:r w:rsidRPr="006F7935">
              <w:rPr>
                <w:rFonts w:eastAsia="標楷體" w:hAnsi="標楷體"/>
              </w:rPr>
              <w:t>法</w:t>
            </w:r>
          </w:p>
          <w:p w:rsidR="00C57B0A" w:rsidRPr="006F7935" w:rsidRDefault="00C57B0A" w:rsidP="00C57B0A">
            <w:pPr>
              <w:spacing w:line="340" w:lineRule="exact"/>
              <w:ind w:leftChars="309" w:left="742" w:firstLineChars="210" w:firstLine="504"/>
              <w:jc w:val="both"/>
              <w:rPr>
                <w:rFonts w:eastAsia="標楷體"/>
              </w:rPr>
            </w:pPr>
            <w:r w:rsidRPr="006F7935">
              <w:rPr>
                <w:rFonts w:eastAsia="標楷體" w:hAnsi="標楷體"/>
              </w:rPr>
              <w:t>成本法主要概念係認為公司之權益價值可以公平</w:t>
            </w:r>
            <w:proofErr w:type="gramStart"/>
            <w:r w:rsidRPr="006F7935">
              <w:rPr>
                <w:rFonts w:eastAsia="標楷體" w:hAnsi="標楷體"/>
              </w:rPr>
              <w:t>巿</w:t>
            </w:r>
            <w:proofErr w:type="gramEnd"/>
            <w:r w:rsidRPr="006F7935">
              <w:rPr>
                <w:rFonts w:eastAsia="標楷體" w:hAnsi="標楷體"/>
              </w:rPr>
              <w:t>價重新評估資產價值，以資產淨額減除負債後的餘額估算，</w:t>
            </w:r>
            <w:r w:rsidRPr="006F7935">
              <w:rPr>
                <w:rFonts w:eastAsia="標楷體" w:hAnsi="標楷體" w:hint="eastAsia"/>
              </w:rPr>
              <w:t>惟</w:t>
            </w:r>
            <w:r w:rsidRPr="006F7935">
              <w:rPr>
                <w:rFonts w:eastAsia="標楷體" w:hAnsi="標楷體"/>
              </w:rPr>
              <w:t>成本法係以歷史成本為計算之依據，將忽略通貨膨脹因素且無法表達資產實際經濟價值，並深受財務報表</w:t>
            </w:r>
            <w:proofErr w:type="gramStart"/>
            <w:r w:rsidRPr="006F7935">
              <w:rPr>
                <w:rFonts w:eastAsia="標楷體" w:hAnsi="標楷體"/>
              </w:rPr>
              <w:t>採</w:t>
            </w:r>
            <w:proofErr w:type="gramEnd"/>
            <w:r w:rsidRPr="006F7935">
              <w:rPr>
                <w:rFonts w:eastAsia="標楷體" w:hAnsi="標楷體"/>
              </w:rPr>
              <w:t>行之會計原則及方法影響，將可能低估成長型公司之企業價值，因此實際上以成本法</w:t>
            </w:r>
            <w:proofErr w:type="gramStart"/>
            <w:r w:rsidRPr="006F7935">
              <w:rPr>
                <w:rFonts w:eastAsia="標楷體" w:hAnsi="標楷體"/>
              </w:rPr>
              <w:t>評價興櫃公司</w:t>
            </w:r>
            <w:proofErr w:type="gramEnd"/>
            <w:r w:rsidRPr="006F7935">
              <w:rPr>
                <w:rFonts w:eastAsia="標楷體" w:hAnsi="標楷體"/>
              </w:rPr>
              <w:t>並不多見，故不予以採用。</w:t>
            </w:r>
          </w:p>
          <w:p w:rsidR="00C57B0A" w:rsidRPr="006F7935" w:rsidRDefault="00C57B0A" w:rsidP="00C57B0A">
            <w:pPr>
              <w:ind w:firstLineChars="132" w:firstLine="317"/>
              <w:jc w:val="both"/>
              <w:rPr>
                <w:rFonts w:eastAsia="標楷體"/>
              </w:rPr>
            </w:pPr>
            <w:r w:rsidRPr="006F7935">
              <w:rPr>
                <w:rFonts w:eastAsia="標楷體"/>
              </w:rPr>
              <w:t>(</w:t>
            </w:r>
            <w:r w:rsidRPr="006F7935">
              <w:rPr>
                <w:rFonts w:eastAsia="標楷體" w:hint="eastAsia"/>
              </w:rPr>
              <w:t>三</w:t>
            </w:r>
            <w:r w:rsidRPr="006F7935">
              <w:rPr>
                <w:rFonts w:eastAsia="標楷體"/>
              </w:rPr>
              <w:t>)</w:t>
            </w:r>
            <w:r w:rsidRPr="006F7935">
              <w:rPr>
                <w:rFonts w:eastAsia="標楷體" w:hAnsi="標楷體"/>
              </w:rPr>
              <w:t>現金流量折現法</w:t>
            </w:r>
          </w:p>
          <w:p w:rsidR="00C57B0A" w:rsidRPr="006F7935" w:rsidRDefault="00C57B0A" w:rsidP="00C57B0A">
            <w:pPr>
              <w:ind w:leftChars="309" w:left="742" w:firstLineChars="200" w:firstLine="480"/>
              <w:jc w:val="both"/>
              <w:rPr>
                <w:rFonts w:eastAsia="標楷體" w:hAnsi="標楷體"/>
              </w:rPr>
            </w:pPr>
            <w:r w:rsidRPr="006F7935">
              <w:rPr>
                <w:rFonts w:ascii="標楷體" w:eastAsia="標楷體" w:hAnsi="標楷體" w:hint="eastAsia"/>
              </w:rPr>
              <w:t>在股價評價方法選擇上，考量現金流量折</w:t>
            </w:r>
            <w:proofErr w:type="gramStart"/>
            <w:r w:rsidRPr="006F7935">
              <w:rPr>
                <w:rFonts w:ascii="標楷體" w:eastAsia="標楷體" w:hAnsi="標楷體" w:hint="eastAsia"/>
              </w:rPr>
              <w:t>現法因需推</w:t>
            </w:r>
            <w:proofErr w:type="gramEnd"/>
            <w:r w:rsidRPr="006F7935">
              <w:rPr>
                <w:rFonts w:ascii="標楷體" w:eastAsia="標楷體" w:hAnsi="標楷體" w:hint="eastAsia"/>
              </w:rPr>
              <w:t>估公司未來數年之盈餘及現金流量作為評價之基礎，然而預測期間長，推估營收資料之困難度提高，不確定性風險相對高，亦不能合理評估公司應有之價值，故不予以採用。</w:t>
            </w:r>
          </w:p>
          <w:p w:rsidR="00C57B0A" w:rsidRPr="006F7935" w:rsidRDefault="00C57B0A" w:rsidP="00C57B0A">
            <w:pPr>
              <w:pStyle w:val="af1"/>
              <w:ind w:leftChars="0" w:left="0"/>
              <w:jc w:val="both"/>
              <w:rPr>
                <w:rFonts w:ascii="標楷體" w:eastAsia="標楷體" w:hAnsi="標楷體"/>
              </w:rPr>
            </w:pPr>
            <w:r w:rsidRPr="006F7935">
              <w:rPr>
                <w:rFonts w:ascii="標楷體" w:eastAsia="標楷體" w:hAnsi="標楷體" w:hint="eastAsia"/>
              </w:rPr>
              <w:t>三、</w:t>
            </w:r>
            <w:r w:rsidRPr="006F7935">
              <w:rPr>
                <w:rFonts w:ascii="標楷體" w:eastAsia="標楷體" w:hAnsi="標楷體"/>
              </w:rPr>
              <w:t>推薦證券商與發行人共同議定承銷價格合理性之評估意見。</w:t>
            </w:r>
          </w:p>
          <w:p w:rsidR="00C57B0A" w:rsidRPr="000D7285" w:rsidRDefault="00C57B0A" w:rsidP="00377BCA">
            <w:pPr>
              <w:ind w:leftChars="191" w:left="458" w:firstLineChars="236" w:firstLine="566"/>
              <w:jc w:val="both"/>
              <w:rPr>
                <w:rFonts w:ascii="標楷體" w:eastAsia="標楷體" w:hAnsi="標楷體"/>
                <w:u w:val="single"/>
              </w:rPr>
            </w:pPr>
            <w:r w:rsidRPr="00FF4941">
              <w:rPr>
                <w:rFonts w:eastAsia="標楷體" w:hAnsi="標楷體" w:hint="eastAsia"/>
              </w:rPr>
              <w:t>經參考</w:t>
            </w:r>
            <w:proofErr w:type="gramStart"/>
            <w:r w:rsidR="00377BCA">
              <w:rPr>
                <w:rFonts w:eastAsia="標楷體" w:hAnsi="標楷體" w:hint="eastAsia"/>
              </w:rPr>
              <w:t>採</w:t>
            </w:r>
            <w:proofErr w:type="gramEnd"/>
            <w:r w:rsidR="00377BCA">
              <w:rPr>
                <w:rFonts w:eastAsia="標楷體" w:hAnsi="標楷體" w:hint="eastAsia"/>
              </w:rPr>
              <w:t>樣同業及</w:t>
            </w:r>
            <w:r w:rsidRPr="00FF4941">
              <w:rPr>
                <w:rFonts w:eastAsia="標楷體" w:hAnsi="標楷體" w:hint="eastAsia"/>
              </w:rPr>
              <w:t>上</w:t>
            </w:r>
            <w:r w:rsidR="0064711C">
              <w:rPr>
                <w:rFonts w:eastAsia="標楷體" w:hAnsi="標楷體" w:hint="eastAsia"/>
              </w:rPr>
              <w:t>市櫃</w:t>
            </w:r>
            <w:r w:rsidR="00377BCA">
              <w:rPr>
                <w:rFonts w:eastAsia="標楷體" w:hAnsi="標楷體" w:hint="eastAsia"/>
              </w:rPr>
              <w:t>生技醫療</w:t>
            </w:r>
            <w:r w:rsidRPr="00FF4941">
              <w:rPr>
                <w:rFonts w:eastAsia="標楷體" w:hAnsi="標楷體" w:hint="eastAsia"/>
              </w:rPr>
              <w:t>類股之本益比，以及參酌該公</w:t>
            </w:r>
            <w:r w:rsidRPr="006F7935">
              <w:rPr>
                <w:rFonts w:eastAsia="標楷體" w:hAnsi="標楷體" w:hint="eastAsia"/>
              </w:rPr>
              <w:t>司經營績效、獲利情況、所處市場環境、產業未來成長性及同業之市場狀況，並考量興櫃</w:t>
            </w:r>
            <w:proofErr w:type="gramStart"/>
            <w:r w:rsidRPr="006F7935">
              <w:rPr>
                <w:rFonts w:eastAsia="標楷體" w:hAnsi="標楷體" w:hint="eastAsia"/>
              </w:rPr>
              <w:t>巿</w:t>
            </w:r>
            <w:proofErr w:type="gramEnd"/>
            <w:r w:rsidRPr="006F7935">
              <w:rPr>
                <w:rFonts w:eastAsia="標楷體" w:hAnsi="標楷體" w:hint="eastAsia"/>
              </w:rPr>
              <w:t>場流動性不足之風險後，價格區間為</w:t>
            </w:r>
            <w:r w:rsidR="0064711C" w:rsidRPr="0064711C">
              <w:rPr>
                <w:rFonts w:eastAsia="標楷體" w:hAnsi="標楷體"/>
              </w:rPr>
              <w:t>83.79~186.69</w:t>
            </w:r>
            <w:r w:rsidRPr="00FF4941">
              <w:rPr>
                <w:rFonts w:eastAsia="標楷體" w:hAnsi="標楷體" w:hint="eastAsia"/>
              </w:rPr>
              <w:t>元，</w:t>
            </w:r>
            <w:r w:rsidRPr="00FF4941">
              <w:rPr>
                <w:rFonts w:eastAsia="標楷體" w:hAnsi="標楷體"/>
              </w:rPr>
              <w:t>本推薦券商</w:t>
            </w:r>
            <w:r w:rsidRPr="00FF4941">
              <w:rPr>
                <w:rFonts w:eastAsia="標楷體" w:hAnsi="標楷體" w:hint="eastAsia"/>
              </w:rPr>
              <w:t>與</w:t>
            </w:r>
            <w:proofErr w:type="gramStart"/>
            <w:r w:rsidRPr="00FF4941">
              <w:rPr>
                <w:rFonts w:eastAsia="標楷體" w:hAnsi="標楷體" w:hint="eastAsia"/>
              </w:rPr>
              <w:t>醫</w:t>
            </w:r>
            <w:proofErr w:type="gramEnd"/>
            <w:r w:rsidRPr="00FF4941">
              <w:rPr>
                <w:rFonts w:eastAsia="標楷體" w:hAnsi="標楷體" w:hint="eastAsia"/>
              </w:rPr>
              <w:t>揚科技共同議定之每股認購價格為</w:t>
            </w:r>
            <w:r w:rsidR="00377BCA">
              <w:rPr>
                <w:rFonts w:eastAsia="標楷體" w:hAnsi="標楷體" w:hint="eastAsia"/>
              </w:rPr>
              <w:t>112</w:t>
            </w:r>
            <w:r w:rsidRPr="006F7935">
              <w:rPr>
                <w:rFonts w:eastAsia="標楷體" w:hAnsi="標楷體" w:hint="eastAsia"/>
              </w:rPr>
              <w:t>元，故本次輔導推薦證券商與該公司共同議定</w:t>
            </w:r>
            <w:proofErr w:type="gramStart"/>
            <w:r w:rsidRPr="006F7935">
              <w:rPr>
                <w:rFonts w:eastAsia="標楷體" w:hAnsi="標楷體" w:hint="eastAsia"/>
              </w:rPr>
              <w:t>之興櫃</w:t>
            </w:r>
            <w:proofErr w:type="gramEnd"/>
            <w:r w:rsidRPr="006F7935">
              <w:rPr>
                <w:rFonts w:eastAsia="標楷體" w:hAnsi="標楷體" w:hint="eastAsia"/>
              </w:rPr>
              <w:t>認購價格應屬合理。</w:t>
            </w:r>
          </w:p>
        </w:tc>
      </w:tr>
    </w:tbl>
    <w:p w:rsidR="00BF2B97" w:rsidRPr="009373D0" w:rsidRDefault="00BF2B97">
      <w:pPr>
        <w:jc w:val="both"/>
        <w:rPr>
          <w:rFonts w:ascii="標楷體" w:eastAsia="標楷體" w:hAnsi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161123" w:rsidRPr="009373D0">
        <w:trPr>
          <w:trHeight w:val="768"/>
        </w:trPr>
        <w:tc>
          <w:tcPr>
            <w:tcW w:w="9568" w:type="dxa"/>
          </w:tcPr>
          <w:bookmarkStart w:id="4" w:name="公司簡介"/>
          <w:bookmarkEnd w:id="4"/>
          <w:p w:rsidR="00161123" w:rsidRPr="009373D0" w:rsidRDefault="006B23B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1270" t="0" r="0" b="3175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-1.1pt;margin-top:-.5pt;width:477pt;height:39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URzwIAANUFAAAOAAAAZHJzL2Uyb0RvYy54bWysVMlu2zAQvRfoPxC8O1oq2ZZgOUjiuCiQ&#10;LkBS9ExLlESUIlmStpwW/fcOKdlRmxyKojJAc5kZznvzOKvLY8fRgWrDpChwdBFiREUpKyaaAn9+&#10;2M6WGBlLREW4FLTAj9Tgy/XrV6te5TSWreQV1QiCCJP3qsCttSoPAlO2tCPmQioq4LCWuiMWlroJ&#10;Kk16iN7xIA7DedBLXSktS2oM7G6GQ7z28eualvZjXRtqES8w5Gb9qP24c2OwXpG80US1rBzTIP+Q&#10;RUeYgEvPoTbEErTX7FmojpVaGlnbi1J2gaxrVlKPAdBE4R9o7luiqMcC5Bh1psn8v7Dlh8MnjVgF&#10;tYsxEqSDGj3Qo0XX8ojSN46fXpkczO4VGNoj7IOtx2rUnSy/GiTkTUtEQ6+0ln1LSQX5Rc4zmLgO&#10;cYwLsuvfywruIXsrfaBjrTtHHtCBIDrU6fFcG5dLCZvzMF1kIRyVcJaGcbxM/RUkP3krbexbKjvk&#10;JgXWUHsfnRzujHXZkPxkMlaq2jLOkZb2C7OtJ/sErTHg460MUhLwhANi3exuuEYHAnK63bjfmERj&#10;ptZpCN9zj63/XvSInMcLLs8uARTn5DgTCIgHPpLBHZmScOqKebpEEw/SJceFG4V0oAc6hh1geATr&#10;uPai/ZFFcRJex9lsO18uZsk2SWfZIlzOwii7zuZhkiWb7U8HMEryllUVFXdM0NMDipK/E+j4lAfp&#10;+yeE+gJnaZwO3EnOztmbKfUerX+8QIeZmnXMQj/hrCvwcuAEoJLcqfJWVH5uCePDPPg9fS8R4OD0&#10;71nxGnayHQRsj7ujfy6xY9jpeyerRxA1qMgrF3ohTFqpv2PUQ18psPm2J5pixN8JEFIWJYlrRH6R&#10;pIsYFnp6spueEFFCqAJbDIV20xs7NK+90qxp4abhKQp5BY+pZl7nT1mNTxB6h8c09jnXnKZrb/XU&#10;jde/AAAA//8DAFBLAwQUAAYACAAAACEAPvhbQN8AAAAIAQAADwAAAGRycy9kb3ducmV2LnhtbEyP&#10;QUvDQBCF74L/YRnBW7tJQBtjNqVUqmiLYFvwus2OSWh2Nma3afz3jqd6Gh7v8eZ9+Xy0rRiw940j&#10;BfE0AoFUOtNQpWC/W01SED5oMrp1hAp+0MO8uL7KdWbcmT5w2IZKcAn5TCuoQ+gyKX1Zo9V+6jok&#10;9r5cb3Vg2VfS9PrM5baVSRTdS6sb4g+17nBZY3ncnqyC4fXlfb16Q1w80edmt7fl7Ps5Ver2Zlw8&#10;ggg4hksY/ubzdCh408GdyHjRKpgkCSf5xozE/sNdzCgHBbM0Blnk8j9A8QsAAP//AwBQSwECLQAU&#10;AAYACAAAACEAtoM4kv4AAADhAQAAEwAAAAAAAAAAAAAAAAAAAAAAW0NvbnRlbnRfVHlwZXNdLnht&#10;bFBLAQItABQABgAIAAAAIQA4/SH/1gAAAJQBAAALAAAAAAAAAAAAAAAAAC8BAABfcmVscy8ucmVs&#10;c1BLAQItABQABgAIAAAAIQBKZMURzwIAANUFAAAOAAAAAAAAAAAAAAAAAC4CAABkcnMvZTJvRG9j&#10;LnhtbFBLAQItABQABgAIAAAAIQA++FtA3wAAAAg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9373D0">
              <w:rPr>
                <w:rFonts w:ascii="標楷體" w:eastAsia="標楷體" w:hAnsi="標楷體"/>
                <w:b/>
                <w:bCs/>
              </w:rPr>
              <w:t>公司簡介(公司介紹、歷史沿革、經營理念、未來展望等)</w:t>
            </w:r>
          </w:p>
        </w:tc>
      </w:tr>
      <w:tr w:rsidR="00161123" w:rsidRPr="009373D0">
        <w:tc>
          <w:tcPr>
            <w:tcW w:w="9568" w:type="dxa"/>
          </w:tcPr>
          <w:p w:rsidR="002B01BF" w:rsidRPr="002B01BF" w:rsidRDefault="002B01BF" w:rsidP="00B60F0D">
            <w:pPr>
              <w:pStyle w:val="Web"/>
              <w:adjustRightInd w:val="0"/>
              <w:snapToGrid w:val="0"/>
              <w:spacing w:before="120" w:beforeAutospacing="0" w:after="120" w:afterAutospacing="0"/>
              <w:ind w:firstLineChars="7" w:firstLine="17"/>
              <w:jc w:val="both"/>
              <w:rPr>
                <w:rStyle w:val="HTML0"/>
                <w:rFonts w:ascii="標楷體" w:eastAsia="標楷體" w:hAnsi="標楷體"/>
                <w:b/>
                <w:sz w:val="24"/>
                <w:szCs w:val="24"/>
              </w:rPr>
            </w:pPr>
            <w:r w:rsidRPr="002B01BF">
              <w:rPr>
                <w:rStyle w:val="HTML0"/>
                <w:rFonts w:ascii="標楷體" w:eastAsia="標楷體" w:hAnsi="標楷體" w:hint="eastAsia"/>
                <w:b/>
                <w:sz w:val="24"/>
                <w:szCs w:val="24"/>
              </w:rPr>
              <w:t>一、公司介紹</w:t>
            </w:r>
          </w:p>
          <w:p w:rsidR="00C53C9E" w:rsidRPr="002B01BF" w:rsidRDefault="002B01BF" w:rsidP="00B60F0D">
            <w:pPr>
              <w:pStyle w:val="Web"/>
              <w:adjustRightInd w:val="0"/>
              <w:snapToGrid w:val="0"/>
              <w:spacing w:before="120" w:beforeAutospacing="0" w:after="0" w:afterAutospacing="0"/>
              <w:ind w:firstLineChars="245" w:firstLine="588"/>
              <w:jc w:val="both"/>
              <w:rPr>
                <w:rStyle w:val="HTML0"/>
                <w:rFonts w:ascii="標楷體" w:eastAsia="標楷體" w:hAnsi="標楷體"/>
                <w:sz w:val="24"/>
                <w:szCs w:val="24"/>
              </w:rPr>
            </w:pPr>
            <w:r w:rsidRPr="002B01BF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本公司成立於民國99年，自成立以來即致力於醫療電腦相關產品之研發、製造及銷售。本公公司取得ISO 9001認證</w:t>
            </w:r>
            <w:r w:rsidR="000A1F18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2B01BF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ISO 13485認證，</w:t>
            </w:r>
            <w:r w:rsidR="00C53C9E" w:rsidRPr="00C53C9E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產品</w:t>
            </w:r>
            <w:r w:rsidR="00867D0D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並</w:t>
            </w:r>
            <w:r w:rsidR="00C53C9E" w:rsidRPr="00C53C9E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符合醫療及資訊規範認證(IEC 60601-1-2、47 CFR Part 18、UL/</w:t>
            </w:r>
            <w:proofErr w:type="spellStart"/>
            <w:r w:rsidR="00C53C9E" w:rsidRPr="00C53C9E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cUL</w:t>
            </w:r>
            <w:proofErr w:type="spellEnd"/>
            <w:r w:rsidR="00C53C9E" w:rsidRPr="00C53C9E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 xml:space="preserve"> ANS1/AAMI ES60601-1、IEC 55022、IEC 55024、GB9254、GB4943、GB17625、GB28380...等) ，並獲得中華民國各項專利及台灣精品等獎項殊榮。</w:t>
            </w:r>
            <w:r w:rsidR="00867D0D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本公司</w:t>
            </w:r>
            <w:r w:rsidR="00867D0D" w:rsidRPr="00867D0D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針對企業及系統整合商提供整合性的網路技術、電腦平台及客製化的醫療及資訊產品解決方案</w:t>
            </w:r>
            <w:r w:rsidR="00867D0D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2B01BF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成立至今每年業績及市占率皆穩定成長，已在醫療業界打開知名度，"onyx"自有品牌獲得國內外醫療院所青睞</w:t>
            </w:r>
            <w:r w:rsidR="00BE08F6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。</w:t>
            </w:r>
            <w:r w:rsidR="00867D0D" w:rsidRPr="00867D0D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本公司</w:t>
            </w:r>
            <w:r w:rsidRPr="002B01BF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產品應用於醫療護理推車、病房系統及控管嚴格的加護病房及手術室，代表本公司所研發製造的產品其可靠度獲得使用者信賴</w:t>
            </w:r>
            <w:r w:rsidR="000A1F18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2B01BF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同時本公司產品亦獲得國際醫療大廠的採用，並委託設計生產(ODM/OEM)醫療電腦、醫療級螢幕及醫療手持裝置。本公司經營核心採取自有品牌(Own Brand)與客製化設計生產(ODM/OEM)雙軌並行，以達到互補及共同成長的雙贏策略。</w:t>
            </w:r>
          </w:p>
          <w:p w:rsidR="002B01BF" w:rsidRPr="002B01BF" w:rsidRDefault="002B01BF" w:rsidP="00B60F0D">
            <w:pPr>
              <w:pStyle w:val="Web"/>
              <w:adjustRightInd w:val="0"/>
              <w:snapToGrid w:val="0"/>
              <w:spacing w:before="120" w:beforeAutospacing="0" w:after="120" w:afterAutospacing="0"/>
              <w:ind w:firstLineChars="7" w:firstLine="17"/>
              <w:jc w:val="both"/>
              <w:rPr>
                <w:rStyle w:val="HTML0"/>
                <w:rFonts w:ascii="標楷體" w:eastAsia="標楷體" w:hAnsi="標楷體"/>
                <w:b/>
                <w:sz w:val="24"/>
                <w:szCs w:val="24"/>
              </w:rPr>
            </w:pPr>
            <w:r w:rsidRPr="002B01BF">
              <w:rPr>
                <w:rStyle w:val="HTML0"/>
                <w:rFonts w:ascii="標楷體" w:eastAsia="標楷體" w:hAnsi="標楷體" w:hint="eastAsia"/>
                <w:b/>
                <w:sz w:val="24"/>
                <w:szCs w:val="24"/>
              </w:rPr>
              <w:t>二、歷史沿革</w:t>
            </w:r>
          </w:p>
          <w:tbl>
            <w:tblPr>
              <w:tblW w:w="8727" w:type="dxa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7383"/>
            </w:tblGrid>
            <w:tr w:rsidR="002B01BF" w:rsidRPr="002B01BF" w:rsidTr="002B01BF">
              <w:trPr>
                <w:trHeight w:val="707"/>
              </w:trPr>
              <w:tc>
                <w:tcPr>
                  <w:tcW w:w="1344" w:type="dxa"/>
                  <w:shd w:val="clear" w:color="auto" w:fill="auto"/>
                  <w:vAlign w:val="center"/>
                </w:tcPr>
                <w:p w:rsidR="002B01BF" w:rsidRPr="002B01BF" w:rsidRDefault="002B01BF" w:rsidP="00617EF7">
                  <w:pPr>
                    <w:widowControl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2B01BF">
                    <w:rPr>
                      <w:rFonts w:ascii="標楷體" w:eastAsia="標楷體" w:hAnsi="標楷體"/>
                      <w:kern w:val="0"/>
                    </w:rPr>
                    <w:t>民國9</w:t>
                  </w:r>
                  <w:r w:rsidRPr="002B01BF">
                    <w:rPr>
                      <w:rFonts w:ascii="標楷體" w:eastAsia="標楷體" w:hAnsi="標楷體" w:hint="eastAsia"/>
                      <w:kern w:val="0"/>
                    </w:rPr>
                    <w:t>9</w:t>
                  </w:r>
                  <w:r w:rsidRPr="002B01BF">
                    <w:rPr>
                      <w:rFonts w:ascii="標楷體" w:eastAsia="標楷體" w:hAnsi="標楷體"/>
                      <w:kern w:val="0"/>
                    </w:rPr>
                    <w:t>年</w:t>
                  </w:r>
                </w:p>
              </w:tc>
              <w:tc>
                <w:tcPr>
                  <w:tcW w:w="7383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 w:cs="新細明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02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月：公司成立，定名為</w:t>
                  </w:r>
                  <w:proofErr w:type="gramStart"/>
                  <w:r w:rsidRPr="002B01BF">
                    <w:rPr>
                      <w:rFonts w:ascii="標楷體" w:eastAsia="標楷體" w:hAnsi="標楷體" w:hint="eastAsia"/>
                    </w:rPr>
                    <w:t>醫</w:t>
                  </w:r>
                  <w:proofErr w:type="gramEnd"/>
                  <w:r w:rsidRPr="002B01BF">
                    <w:rPr>
                      <w:rFonts w:ascii="標楷體" w:eastAsia="標楷體" w:hAnsi="標楷體" w:hint="eastAsia"/>
                    </w:rPr>
                    <w:t>揚科技股份有限公司，資本總額新台幣</w:t>
                  </w:r>
                  <w:r w:rsidRPr="002B01BF">
                    <w:rPr>
                      <w:rFonts w:ascii="標楷體" w:eastAsia="標楷體" w:hAnsi="標楷體"/>
                    </w:rPr>
                    <w:t>30,000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仟元，主要業務為提供可信賴及高品質之醫療電腦解决方案。</w:t>
                  </w:r>
                </w:p>
              </w:tc>
            </w:tr>
            <w:tr w:rsidR="002B01BF" w:rsidRPr="002B01BF" w:rsidTr="002B01BF">
              <w:trPr>
                <w:trHeight w:val="1023"/>
              </w:trPr>
              <w:tc>
                <w:tcPr>
                  <w:tcW w:w="1344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民國100年</w:t>
                  </w:r>
                </w:p>
              </w:tc>
              <w:tc>
                <w:tcPr>
                  <w:tcW w:w="7383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08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月：通過</w:t>
                  </w:r>
                  <w:r w:rsidRPr="002B01BF">
                    <w:rPr>
                      <w:rFonts w:ascii="標楷體" w:eastAsia="標楷體" w:hAnsi="標楷體"/>
                    </w:rPr>
                    <w:t xml:space="preserve">ISO 9001: 2008 </w:t>
                  </w:r>
                  <w:r w:rsidRPr="002B01BF">
                    <w:rPr>
                      <w:rFonts w:ascii="標楷體" w:eastAsia="標楷體" w:hAnsi="標楷體" w:hint="eastAsia"/>
                    </w:rPr>
                    <w:t>國際品質認證及</w:t>
                  </w:r>
                  <w:r w:rsidRPr="002B01BF">
                    <w:rPr>
                      <w:rFonts w:ascii="標楷體" w:eastAsia="標楷體" w:hAnsi="標楷體"/>
                    </w:rPr>
                    <w:t>ISO 13485: 2003</w:t>
                  </w:r>
                  <w:r w:rsidRPr="002B01BF">
                    <w:rPr>
                      <w:rFonts w:ascii="標楷體" w:eastAsia="標楷體" w:hAnsi="標楷體" w:hint="eastAsia"/>
                    </w:rPr>
                    <w:t>醫療器材業品質管理系統驗證。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10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月：於美國設立子公司</w:t>
                  </w:r>
                  <w:r w:rsidRPr="002B01BF">
                    <w:rPr>
                      <w:rFonts w:ascii="標楷體" w:eastAsia="標楷體" w:hAnsi="標楷體"/>
                    </w:rPr>
                    <w:t>ONYX HEALTHCARE USA, INC.</w:t>
                  </w:r>
                  <w:r w:rsidRPr="002B01BF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2B01BF" w:rsidRPr="002B01BF" w:rsidTr="002B01BF">
              <w:trPr>
                <w:trHeight w:val="285"/>
              </w:trPr>
              <w:tc>
                <w:tcPr>
                  <w:tcW w:w="1344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民國101年</w:t>
                  </w:r>
                </w:p>
              </w:tc>
              <w:tc>
                <w:tcPr>
                  <w:tcW w:w="7383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03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月：為營運需要辦理現金增資新台幣</w:t>
                  </w:r>
                  <w:r w:rsidRPr="002B01BF">
                    <w:rPr>
                      <w:rFonts w:ascii="標楷體" w:eastAsia="標楷體" w:hAnsi="標楷體"/>
                    </w:rPr>
                    <w:t xml:space="preserve">45,000 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仟元，資本總額為新台幣</w:t>
                  </w:r>
                  <w:r w:rsidRPr="002B01BF">
                    <w:rPr>
                      <w:rFonts w:ascii="標楷體" w:eastAsia="標楷體" w:hAnsi="標楷體"/>
                    </w:rPr>
                    <w:t xml:space="preserve">75,000 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仟元。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04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月：於荷蘭設立子公司</w:t>
                  </w:r>
                  <w:r w:rsidRPr="002B01BF">
                    <w:rPr>
                      <w:rFonts w:ascii="標楷體" w:eastAsia="標楷體" w:hAnsi="標楷體"/>
                    </w:rPr>
                    <w:t>ONYX HEALTHCARE EUROPE B.V.</w:t>
                  </w:r>
                  <w:r w:rsidRPr="002B01BF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2B01BF" w:rsidRPr="002B01BF" w:rsidTr="002B01BF">
              <w:trPr>
                <w:trHeight w:val="285"/>
              </w:trPr>
              <w:tc>
                <w:tcPr>
                  <w:tcW w:w="1344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民國102年</w:t>
                  </w:r>
                </w:p>
              </w:tc>
              <w:tc>
                <w:tcPr>
                  <w:tcW w:w="7383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 w:hint="eastAsia"/>
                    </w:rPr>
                    <w:t>03月：本公司10吋Android智慧型病床資訊機(</w:t>
                  </w:r>
                  <w:r w:rsidRPr="002B01BF">
                    <w:rPr>
                      <w:rFonts w:ascii="標楷體" w:eastAsia="標楷體" w:hAnsi="標楷體"/>
                    </w:rPr>
                    <w:t>ONYX-BE100</w:t>
                  </w:r>
                  <w:r w:rsidRPr="002B01BF">
                    <w:rPr>
                      <w:rFonts w:ascii="標楷體" w:eastAsia="標楷體" w:hAnsi="標楷體" w:hint="eastAsia"/>
                    </w:rPr>
                    <w:t>)及智慧型高階醫療影像處理系統(</w:t>
                  </w:r>
                  <w:r w:rsidRPr="002B01BF">
                    <w:rPr>
                      <w:rFonts w:ascii="標楷體" w:eastAsia="標楷體" w:hAnsi="標楷體"/>
                    </w:rPr>
                    <w:t>Zeus Series</w:t>
                  </w:r>
                  <w:r w:rsidRPr="002B01BF">
                    <w:rPr>
                      <w:rFonts w:ascii="標楷體" w:eastAsia="標楷體" w:hAnsi="標楷體" w:hint="eastAsia"/>
                    </w:rPr>
                    <w:t>)榮獲2013年台灣精品獎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 w:hint="eastAsia"/>
                    </w:rPr>
                    <w:t>本公司智慧型高階醫療影像處理系統(</w:t>
                  </w:r>
                  <w:r w:rsidRPr="002B01BF">
                    <w:rPr>
                      <w:rFonts w:ascii="標楷體" w:eastAsia="標楷體" w:hAnsi="標楷體"/>
                    </w:rPr>
                    <w:t>Zeus</w:t>
                  </w:r>
                  <w:r w:rsidRPr="002B01BF">
                    <w:rPr>
                      <w:rFonts w:ascii="標楷體" w:eastAsia="標楷體" w:hAnsi="標楷體" w:hint="eastAsia"/>
                    </w:rPr>
                    <w:t>-247S)榮獲</w:t>
                  </w:r>
                  <w:proofErr w:type="spellStart"/>
                  <w:r w:rsidRPr="002B01BF">
                    <w:rPr>
                      <w:rFonts w:ascii="標楷體" w:eastAsia="標楷體" w:hAnsi="標楷體" w:hint="eastAsia"/>
                    </w:rPr>
                    <w:t>Zorg</w:t>
                  </w:r>
                  <w:proofErr w:type="spellEnd"/>
                  <w:r w:rsidRPr="002B01BF">
                    <w:rPr>
                      <w:rFonts w:ascii="標楷體" w:eastAsia="標楷體" w:hAnsi="標楷體" w:hint="eastAsia"/>
                    </w:rPr>
                    <w:t xml:space="preserve"> &amp; </w:t>
                  </w:r>
                  <w:r w:rsidRPr="002B01BF">
                    <w:rPr>
                      <w:rFonts w:ascii="標楷體" w:eastAsia="標楷體" w:hAnsi="標楷體"/>
                    </w:rPr>
                    <w:t>ICT Innovation Award 2013</w:t>
                  </w:r>
                  <w:r w:rsidRPr="002B01BF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1</w:t>
                  </w:r>
                  <w:r w:rsidRPr="002B01BF">
                    <w:rPr>
                      <w:rFonts w:ascii="標楷體" w:eastAsia="標楷體" w:hAnsi="標楷體" w:hint="eastAsia"/>
                    </w:rPr>
                    <w:t>2月：辦理盈餘轉增資</w:t>
                  </w:r>
                  <w:r w:rsidRPr="002B01BF">
                    <w:rPr>
                      <w:rFonts w:ascii="標楷體" w:eastAsia="標楷體" w:hAnsi="標楷體"/>
                    </w:rPr>
                    <w:t>21,600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仟元，資本總額為新台幣</w:t>
                  </w:r>
                  <w:r w:rsidRPr="002B01BF">
                    <w:rPr>
                      <w:rFonts w:ascii="標楷體" w:eastAsia="標楷體" w:hAnsi="標楷體"/>
                    </w:rPr>
                    <w:t>96,600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仟元。</w:t>
                  </w:r>
                </w:p>
              </w:tc>
            </w:tr>
            <w:tr w:rsidR="002B01BF" w:rsidRPr="002B01BF" w:rsidTr="002B01BF">
              <w:trPr>
                <w:trHeight w:val="20"/>
              </w:trPr>
              <w:tc>
                <w:tcPr>
                  <w:tcW w:w="1344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民國103年</w:t>
                  </w:r>
                </w:p>
              </w:tc>
              <w:tc>
                <w:tcPr>
                  <w:tcW w:w="7383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 w:hint="eastAsia"/>
                    </w:rPr>
                    <w:t>04月：本公司7吋醫療用</w:t>
                  </w:r>
                  <w:proofErr w:type="gramStart"/>
                  <w:r w:rsidRPr="002B01BF">
                    <w:rPr>
                      <w:rFonts w:ascii="標楷體" w:eastAsia="標楷體" w:hAnsi="標楷體" w:hint="eastAsia"/>
                    </w:rPr>
                    <w:t>強固型便攜</w:t>
                  </w:r>
                  <w:proofErr w:type="gramEnd"/>
                  <w:r w:rsidRPr="002B01BF">
                    <w:rPr>
                      <w:rFonts w:ascii="標楷體" w:eastAsia="標楷體" w:hAnsi="標楷體" w:hint="eastAsia"/>
                    </w:rPr>
                    <w:t>平板電腦(</w:t>
                  </w:r>
                  <w:r w:rsidRPr="002B01BF">
                    <w:rPr>
                      <w:rFonts w:ascii="標楷體" w:eastAsia="標楷體" w:hAnsi="標楷體"/>
                    </w:rPr>
                    <w:t>MD70-PRO</w:t>
                  </w:r>
                  <w:r w:rsidRPr="002B01BF">
                    <w:rPr>
                      <w:rFonts w:ascii="標楷體" w:eastAsia="標楷體" w:hAnsi="標楷體" w:hint="eastAsia"/>
                    </w:rPr>
                    <w:t>) 榮獲2014年台灣精品獎。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08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月：辦理盈餘轉增資</w:t>
                  </w:r>
                  <w:r w:rsidRPr="002B01BF">
                    <w:rPr>
                      <w:rFonts w:ascii="標楷體" w:eastAsia="標楷體" w:hAnsi="標楷體"/>
                    </w:rPr>
                    <w:t>33,810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仟元，資本總額為新台幣</w:t>
                  </w:r>
                  <w:r w:rsidRPr="002B01BF">
                    <w:rPr>
                      <w:rFonts w:ascii="標楷體" w:eastAsia="標楷體" w:hAnsi="標楷體"/>
                    </w:rPr>
                    <w:t>130,410</w:t>
                  </w:r>
                  <w:r w:rsidRPr="002B01BF">
                    <w:rPr>
                      <w:rFonts w:ascii="標楷體" w:eastAsia="標楷體" w:hAnsi="標楷體" w:hint="eastAsia"/>
                    </w:rPr>
                    <w:t>仟元。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0</w:t>
                  </w:r>
                  <w:r w:rsidRPr="002B01BF">
                    <w:rPr>
                      <w:rFonts w:ascii="標楷體" w:eastAsia="標楷體" w:hAnsi="標楷體" w:hint="eastAsia"/>
                    </w:rPr>
                    <w:t>9月：於上海設立子公司</w:t>
                  </w:r>
                  <w:proofErr w:type="gramStart"/>
                  <w:r w:rsidRPr="002B01BF">
                    <w:rPr>
                      <w:rFonts w:ascii="標楷體" w:eastAsia="標楷體" w:hAnsi="標楷體" w:hint="eastAsia"/>
                    </w:rPr>
                    <w:t>醫</w:t>
                  </w:r>
                  <w:proofErr w:type="gramEnd"/>
                  <w:r w:rsidRPr="002B01BF">
                    <w:rPr>
                      <w:rFonts w:ascii="標楷體" w:eastAsia="標楷體" w:hAnsi="標楷體" w:hint="eastAsia"/>
                    </w:rPr>
                    <w:t>揚電子科技</w:t>
                  </w:r>
                  <w:r w:rsidRPr="002B01BF">
                    <w:rPr>
                      <w:rFonts w:ascii="標楷體" w:eastAsia="標楷體" w:hAnsi="標楷體"/>
                    </w:rPr>
                    <w:t>(</w:t>
                  </w:r>
                  <w:r w:rsidRPr="002B01BF">
                    <w:rPr>
                      <w:rFonts w:ascii="標楷體" w:eastAsia="標楷體" w:hAnsi="標楷體" w:hint="eastAsia"/>
                    </w:rPr>
                    <w:t>上海</w:t>
                  </w:r>
                  <w:r w:rsidRPr="002B01BF">
                    <w:rPr>
                      <w:rFonts w:ascii="標楷體" w:eastAsia="標楷體" w:hAnsi="標楷體"/>
                    </w:rPr>
                    <w:t>)</w:t>
                  </w:r>
                  <w:r w:rsidRPr="002B01BF">
                    <w:rPr>
                      <w:rFonts w:ascii="標楷體" w:eastAsia="標楷體" w:hAnsi="標楷體" w:hint="eastAsia"/>
                    </w:rPr>
                    <w:t>有限公司。</w:t>
                  </w:r>
                </w:p>
              </w:tc>
            </w:tr>
            <w:tr w:rsidR="002B01BF" w:rsidRPr="002B01BF" w:rsidTr="002B01BF">
              <w:trPr>
                <w:trHeight w:val="693"/>
              </w:trPr>
              <w:tc>
                <w:tcPr>
                  <w:tcW w:w="1344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/>
                    </w:rPr>
                    <w:t>民國104年</w:t>
                  </w:r>
                </w:p>
              </w:tc>
              <w:tc>
                <w:tcPr>
                  <w:tcW w:w="7383" w:type="dxa"/>
                  <w:shd w:val="clear" w:color="auto" w:fill="auto"/>
                  <w:vAlign w:val="center"/>
                </w:tcPr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  <w:rPr>
                      <w:rFonts w:ascii="標楷體" w:eastAsia="標楷體" w:hAnsi="標楷體"/>
                    </w:rPr>
                  </w:pPr>
                  <w:r w:rsidRPr="002B01BF">
                    <w:rPr>
                      <w:rFonts w:ascii="標楷體" w:eastAsia="標楷體" w:hAnsi="標楷體" w:hint="eastAsia"/>
                    </w:rPr>
                    <w:t>04月：本公司醫療級</w:t>
                  </w:r>
                  <w:proofErr w:type="gramStart"/>
                  <w:r w:rsidRPr="002B01BF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2B01BF">
                    <w:rPr>
                      <w:rFonts w:ascii="標楷體" w:eastAsia="標楷體" w:hAnsi="標楷體" w:hint="eastAsia"/>
                    </w:rPr>
                    <w:t>斷電行動醫護平台(Venus-191)及醫療用電腦螢幕(ONYX-BE381)榮獲2015年台灣精品獎。</w:t>
                  </w:r>
                </w:p>
                <w:p w:rsidR="002B01BF" w:rsidRPr="002B01BF" w:rsidRDefault="002B01BF" w:rsidP="002B01BF">
                  <w:pPr>
                    <w:autoSpaceDE w:val="0"/>
                    <w:autoSpaceDN w:val="0"/>
                    <w:ind w:left="36" w:firstLine="14"/>
                  </w:pPr>
                  <w:r w:rsidRPr="002B01BF">
                    <w:rPr>
                      <w:rFonts w:ascii="標楷體" w:eastAsia="標楷體" w:hAnsi="標楷體"/>
                    </w:rPr>
                    <w:t>08</w:t>
                  </w:r>
                  <w:r w:rsidRPr="002B01BF">
                    <w:rPr>
                      <w:rFonts w:ascii="標楷體" w:eastAsia="標楷體" w:hAnsi="標楷體" w:hint="eastAsia"/>
                    </w:rPr>
                    <w:t>月：辦理盈餘轉增資新台幣13</w:t>
                  </w:r>
                  <w:r w:rsidRPr="002B01BF">
                    <w:rPr>
                      <w:rFonts w:ascii="標楷體" w:eastAsia="標楷體" w:hAnsi="標楷體"/>
                    </w:rPr>
                    <w:t>,</w:t>
                  </w:r>
                  <w:r w:rsidRPr="002B01BF">
                    <w:rPr>
                      <w:rFonts w:ascii="標楷體" w:eastAsia="標楷體" w:hAnsi="標楷體" w:hint="eastAsia"/>
                    </w:rPr>
                    <w:t>041仟元，資本總額為新台幣</w:t>
                  </w:r>
                  <w:r w:rsidRPr="002B01BF">
                    <w:rPr>
                      <w:rFonts w:ascii="標楷體" w:eastAsia="標楷體" w:hAnsi="標楷體"/>
                    </w:rPr>
                    <w:t>14</w:t>
                  </w:r>
                  <w:r w:rsidRPr="002B01BF">
                    <w:rPr>
                      <w:rFonts w:ascii="標楷體" w:eastAsia="標楷體" w:hAnsi="標楷體" w:hint="eastAsia"/>
                    </w:rPr>
                    <w:t>3</w:t>
                  </w:r>
                  <w:r w:rsidRPr="002B01BF">
                    <w:rPr>
                      <w:rFonts w:ascii="標楷體" w:eastAsia="標楷體" w:hAnsi="標楷體"/>
                    </w:rPr>
                    <w:t>,</w:t>
                  </w:r>
                  <w:r w:rsidRPr="002B01BF">
                    <w:rPr>
                      <w:rFonts w:ascii="標楷體" w:eastAsia="標楷體" w:hAnsi="標楷體" w:hint="eastAsia"/>
                    </w:rPr>
                    <w:t>451仟元。</w:t>
                  </w:r>
                </w:p>
              </w:tc>
            </w:tr>
          </w:tbl>
          <w:p w:rsidR="002B01BF" w:rsidRDefault="002B01BF" w:rsidP="002B01BF">
            <w:pPr>
              <w:pStyle w:val="Web"/>
              <w:adjustRightInd w:val="0"/>
              <w:snapToGrid w:val="0"/>
              <w:spacing w:before="240" w:beforeAutospacing="0" w:after="240" w:afterAutospacing="0"/>
              <w:ind w:firstLineChars="7" w:firstLine="17"/>
              <w:jc w:val="both"/>
              <w:rPr>
                <w:rStyle w:val="HTML0"/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Style w:val="HTML0"/>
                <w:rFonts w:ascii="標楷體" w:eastAsia="標楷體" w:hAnsi="標楷體" w:hint="eastAsia"/>
                <w:b/>
                <w:sz w:val="24"/>
                <w:szCs w:val="24"/>
              </w:rPr>
              <w:t>三、</w:t>
            </w:r>
            <w:r w:rsidRPr="002B01BF">
              <w:rPr>
                <w:rStyle w:val="HTML0"/>
                <w:rFonts w:ascii="標楷體" w:eastAsia="標楷體" w:hAnsi="標楷體"/>
                <w:b/>
                <w:sz w:val="24"/>
                <w:szCs w:val="24"/>
              </w:rPr>
              <w:t>經營理念</w:t>
            </w:r>
          </w:p>
          <w:p w:rsidR="006C71C7" w:rsidRPr="006C71C7" w:rsidRDefault="006C71C7" w:rsidP="006C71C7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240" w:after="240"/>
              <w:ind w:left="280" w:hanging="263"/>
              <w:jc w:val="both"/>
              <w:rPr>
                <w:rStyle w:val="HTML0"/>
                <w:rFonts w:ascii="標楷體" w:eastAsia="標楷體" w:hAnsi="標楷體"/>
                <w:sz w:val="24"/>
                <w:szCs w:val="24"/>
              </w:rPr>
            </w:pPr>
            <w:r w:rsidRPr="006C71C7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可靠性：在時限內提供客戶值得信賴的產品</w:t>
            </w:r>
          </w:p>
          <w:p w:rsidR="006C71C7" w:rsidRPr="006C71C7" w:rsidRDefault="006C71C7" w:rsidP="006C71C7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240" w:after="240"/>
              <w:ind w:left="280" w:hanging="263"/>
              <w:jc w:val="both"/>
              <w:rPr>
                <w:rStyle w:val="HTML0"/>
                <w:rFonts w:ascii="標楷體" w:eastAsia="標楷體" w:hAnsi="標楷體"/>
                <w:sz w:val="24"/>
                <w:szCs w:val="24"/>
              </w:rPr>
            </w:pPr>
            <w:r w:rsidRPr="006C71C7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誠信：重視誠信和道德，為</w:t>
            </w:r>
            <w:r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客戶值得</w:t>
            </w:r>
            <w:r w:rsidRPr="006C71C7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t>選擇的合作夥伴</w:t>
            </w:r>
          </w:p>
          <w:p w:rsidR="006C71C7" w:rsidRPr="006C71C7" w:rsidRDefault="006C71C7" w:rsidP="006C71C7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240" w:after="240"/>
              <w:ind w:left="280" w:hanging="263"/>
              <w:jc w:val="both"/>
              <w:rPr>
                <w:rStyle w:val="HTML0"/>
                <w:rFonts w:ascii="標楷體" w:eastAsia="標楷體" w:hAnsi="標楷體"/>
                <w:sz w:val="24"/>
                <w:szCs w:val="24"/>
              </w:rPr>
            </w:pPr>
            <w:r w:rsidRPr="006C71C7">
              <w:rPr>
                <w:rStyle w:val="HTML0"/>
                <w:rFonts w:ascii="標楷體" w:eastAsia="標楷體" w:hAnsi="標楷體" w:hint="eastAsia"/>
                <w:sz w:val="24"/>
                <w:szCs w:val="24"/>
              </w:rPr>
              <w:lastRenderedPageBreak/>
              <w:t>創新：保持技術領先與業界先進並駕齊驅，協助客戶將最先進的概念實現在產品上</w:t>
            </w:r>
          </w:p>
          <w:p w:rsidR="00161123" w:rsidRDefault="002B01BF" w:rsidP="002B01BF">
            <w:pPr>
              <w:pStyle w:val="Web"/>
              <w:adjustRightInd w:val="0"/>
              <w:snapToGrid w:val="0"/>
              <w:spacing w:before="240" w:beforeAutospacing="0" w:after="240" w:afterAutospacing="0"/>
              <w:ind w:firstLineChars="7" w:firstLine="17"/>
              <w:jc w:val="both"/>
              <w:rPr>
                <w:rStyle w:val="HTML0"/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Style w:val="HTML0"/>
                <w:rFonts w:ascii="標楷體" w:eastAsia="標楷體" w:hAnsi="標楷體" w:hint="eastAsia"/>
                <w:b/>
                <w:sz w:val="24"/>
                <w:szCs w:val="24"/>
              </w:rPr>
              <w:t>四、</w:t>
            </w:r>
            <w:r w:rsidRPr="002B01BF">
              <w:rPr>
                <w:rStyle w:val="HTML0"/>
                <w:rFonts w:ascii="標楷體" w:eastAsia="標楷體" w:hAnsi="標楷體"/>
                <w:b/>
                <w:sz w:val="24"/>
                <w:szCs w:val="24"/>
              </w:rPr>
              <w:t>未來展望</w:t>
            </w:r>
          </w:p>
          <w:p w:rsidR="00A24330" w:rsidRPr="009373D0" w:rsidRDefault="00A24330" w:rsidP="00E36585">
            <w:pPr>
              <w:pStyle w:val="Web"/>
              <w:adjustRightInd w:val="0"/>
              <w:snapToGrid w:val="0"/>
              <w:spacing w:before="240" w:beforeAutospacing="0" w:after="240" w:afterAutospacing="0"/>
              <w:ind w:firstLineChars="245" w:firstLine="588"/>
              <w:jc w:val="both"/>
              <w:rPr>
                <w:rFonts w:ascii="標楷體" w:eastAsia="標楷體" w:hAnsi="標楷體"/>
              </w:rPr>
            </w:pPr>
            <w:r w:rsidRPr="00A24330">
              <w:rPr>
                <w:rFonts w:ascii="標楷體" w:eastAsia="標楷體" w:hAnsi="標楷體" w:hint="eastAsia"/>
              </w:rPr>
              <w:t>隨著老年化社會的來臨，醫療電腦產業的市場前景呈穩健成長趨勢，本公司從銷售端迅速掌握產業動態，持續不斷地投入科技研發與技術之提升，鞏固本身競爭優勢。本公司深耕醫療電腦市場</w:t>
            </w:r>
            <w:r>
              <w:rPr>
                <w:rFonts w:ascii="標楷體" w:eastAsia="標楷體" w:hAnsi="標楷體" w:hint="eastAsia"/>
              </w:rPr>
              <w:t>多年</w:t>
            </w:r>
            <w:r w:rsidRPr="00A24330">
              <w:rPr>
                <w:rFonts w:ascii="標楷體" w:eastAsia="標楷體" w:hAnsi="標楷體" w:hint="eastAsia"/>
              </w:rPr>
              <w:t>，在美洲及歐洲已有穩定的客戶群，產品深受歐美客戶讚許，再加上近期於大中華區之開發與投資，切入高成長的中國市場，配合本公司產品的創新及研發，將可掌握市場成長的契機，帶動本公司營收及獲利的穩定成長。</w:t>
            </w:r>
          </w:p>
        </w:tc>
      </w:tr>
    </w:tbl>
    <w:p w:rsidR="00161123" w:rsidRPr="009373D0" w:rsidRDefault="00161123">
      <w:pPr>
        <w:jc w:val="both"/>
        <w:rPr>
          <w:rFonts w:ascii="標楷體" w:eastAsia="標楷體" w:hAnsi="標楷體"/>
        </w:rPr>
      </w:pPr>
      <w:r w:rsidRPr="009373D0">
        <w:rPr>
          <w:rFonts w:ascii="標楷體" w:eastAsia="標楷體" w:hAnsi="標楷體" w:hint="eastAsia"/>
        </w:rPr>
        <w:lastRenderedPageBreak/>
        <w:t xml:space="preserve">                                                                          </w:t>
      </w:r>
      <w:r w:rsidR="006B23B6">
        <w:rPr>
          <w:rFonts w:ascii="標楷體" w:eastAsia="標楷體" w:hAnsi="標楷體" w:hint="eastAsia"/>
          <w:noProof/>
        </w:rPr>
        <w:drawing>
          <wp:inline distT="0" distB="0" distL="0" distR="0">
            <wp:extent cx="410845" cy="150495"/>
            <wp:effectExtent l="0" t="0" r="8255" b="1905"/>
            <wp:docPr id="3" name="圖片 3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2085"/>
        <w:gridCol w:w="3177"/>
        <w:gridCol w:w="1787"/>
        <w:gridCol w:w="1361"/>
      </w:tblGrid>
      <w:tr w:rsidR="00161123" w:rsidRPr="009C5A82" w:rsidTr="002B01BF">
        <w:trPr>
          <w:cantSplit/>
        </w:trPr>
        <w:tc>
          <w:tcPr>
            <w:tcW w:w="9575" w:type="dxa"/>
            <w:gridSpan w:val="5"/>
          </w:tcPr>
          <w:bookmarkStart w:id="5" w:name="主要業務項目"/>
          <w:bookmarkEnd w:id="5"/>
          <w:p w:rsidR="00161123" w:rsidRPr="009373D0" w:rsidRDefault="006B23B6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6057900" cy="840105"/>
                      <wp:effectExtent l="1270" t="0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401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-1.1pt;margin-top:-.45pt;width:477pt;height:66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LGzgIAANUFAAAOAAAAZHJzL2Uyb0RvYy54bWysVF1vmzAUfZ+0/2D5PQUySAIKqdqmmSZ1&#10;H1I77dkBA9aM7dlOoJv233dtSMrWPkzTiOT4497re849vuvLvuXoSLVhUuQ4uggxoqKQJRN1jj8/&#10;7GYrjIwloiRcCprjR2rw5eb1q3WnMjqXjeQl1QiCCJN1KseNtSoLAlM0tCXmQioq4LCSuiUWlroO&#10;Sk06iN7yYB6Gi6CTulRaFtQY2N0Oh3jj41cVLezHqjLUIp5jyM36Uftx78ZgsyZZrYlqWDGmQf4h&#10;i5YwAZeeQ22JJeig2bNQLSu0NLKyF4VsA1lVrKAeA6CJwj/Q3DdEUY8FyDHqTJP5f2GLD8dPGrES&#10;ahdhJEgLNXqgvUXXskdJ7PjplMnA7F6Boe1hH2w9VqPuZPHVICFvGiJqeqW17BpKSsgvcp7BxHWI&#10;Y1yQffdelnAPOVjpA/WVbh15QAeC6FCnx3NtXC4FbC7CZJmGcFTA2SoGshJ/BclO3kob+5bKFrlJ&#10;jjXU3kcnxztjXTYkO5mMlSp3jHOkpf3CbOPJPkGrDfh4K4OUBDzhgFjX+xuu0ZGAnG637jcmUZup&#10;dRLC99xj578XPSLn8YLLs0sAxTk5zgQC4nOcxIM7MgXh1BXzdIkmHqRLjgs3CulAD3QMO8DwCNZx&#10;7UX7I43mcXg9T2e7xWo5i3dxMkuX4WoWRul1ugjjNN7ufjqAUZw1rCypuGOCnh5QFP+dQMenPEjf&#10;PyHU5ThN5snAneTsnL2ZUu/R+scLdJipWcss9BPOWhDJwAlAJZlT5a0o/dwSxod58Hv6XiLAwenf&#10;s+I17GQ7CNj2+94/lzeOYafvvSwfQdSgIq9c6IUwaaT+jlEHfSXH5tuBaIoRfydASGkUx64R+UWc&#10;LOew0NOT/fSEiAJC5dhiKLSb3tiheR2UZnUDNw1PUcgreEwV8zp/ymp8gtA7PKaxz7nmNF17q6du&#10;vPkFAAD//wMAUEsDBBQABgAIAAAAIQCOr7Kn4AAAAAgBAAAPAAAAZHJzL2Rvd25yZXYueG1sTI9B&#10;T8JAEIXvJPyHzZh4g22rKNRuCdGgQY2JQOJ16Y5tQ3e2dpdS/73jSU+Tl/flzXvZcrCN6LHztSMF&#10;8TQCgVQ4U1OpYL9bT+YgfNBkdOMIFXyjh2U+HmU6Ne5M79hvQyk4hHyqFVQhtKmUvqjQaj91LRJ7&#10;n66zOrDsSmk6feZw28gkim6k1TXxh0q3eF9hcdyerIJ+8/T2sn5GXD3Qx+tub4vbr8e5UpcXw+oO&#10;RMAh/MHwW5+rQ86dDu5ExotGwSRJmOS7AMH2YhbzkgNzV/E1yDyT/wfkPwAAAP//AwBQSwECLQAU&#10;AAYACAAAACEAtoM4kv4AAADhAQAAEwAAAAAAAAAAAAAAAAAAAAAAW0NvbnRlbnRfVHlwZXNdLnht&#10;bFBLAQItABQABgAIAAAAIQA4/SH/1gAAAJQBAAALAAAAAAAAAAAAAAAAAC8BAABfcmVscy8ucmVs&#10;c1BLAQItABQABgAIAAAAIQCMIiLGzgIAANUFAAAOAAAAAAAAAAAAAAAAAC4CAABkcnMvZTJvRG9j&#10;LnhtbFBLAQItABQABgAIAAAAIQCOr7Kn4AAAAAgBAAAPAAAAAAAAAAAAAAAAACg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9373D0">
              <w:rPr>
                <w:rFonts w:ascii="標楷體" w:eastAsia="標楷體" w:hAnsi="標楷體" w:hint="eastAsia"/>
                <w:b/>
                <w:bCs/>
              </w:rPr>
              <w:t>主要</w:t>
            </w:r>
            <w:r w:rsidR="00161123" w:rsidRPr="009373D0">
              <w:rPr>
                <w:rFonts w:ascii="標楷體" w:eastAsia="標楷體" w:hAnsi="標楷體"/>
                <w:b/>
                <w:bCs/>
              </w:rPr>
              <w:t>業務</w:t>
            </w:r>
            <w:r w:rsidR="00161123" w:rsidRPr="009373D0">
              <w:rPr>
                <w:rFonts w:ascii="標楷體" w:eastAsia="標楷體" w:hAnsi="標楷體" w:hint="eastAsia"/>
                <w:b/>
                <w:bCs/>
              </w:rPr>
              <w:t>項目</w:t>
            </w:r>
            <w:r w:rsidR="00161123" w:rsidRPr="009373D0">
              <w:rPr>
                <w:rFonts w:ascii="標楷體" w:eastAsia="標楷體" w:hAnsi="標楷體"/>
                <w:b/>
                <w:bCs/>
              </w:rPr>
              <w:t>：</w:t>
            </w:r>
          </w:p>
          <w:p w:rsidR="00161123" w:rsidRPr="006C71C7" w:rsidRDefault="00161123" w:rsidP="006C71C7">
            <w:pPr>
              <w:spacing w:afterLines="50" w:after="180"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6C71C7">
              <w:rPr>
                <w:rFonts w:ascii="標楷體" w:eastAsia="標楷體" w:hAnsi="標楷體"/>
                <w:snapToGrid w:val="0"/>
              </w:rPr>
              <w:t>主要係從事</w:t>
            </w:r>
            <w:r w:rsidR="002B01BF" w:rsidRPr="006C71C7">
              <w:rPr>
                <w:rFonts w:ascii="標楷體" w:eastAsia="標楷體" w:hAnsi="標楷體" w:hint="eastAsia"/>
              </w:rPr>
              <w:t>生理監測、行動</w:t>
            </w:r>
            <w:proofErr w:type="gramStart"/>
            <w:r w:rsidR="002B01BF" w:rsidRPr="006C71C7">
              <w:rPr>
                <w:rFonts w:ascii="標楷體" w:eastAsia="標楷體" w:hAnsi="標楷體" w:hint="eastAsia"/>
              </w:rPr>
              <w:t>醫療輔</w:t>
            </w:r>
            <w:proofErr w:type="gramEnd"/>
            <w:r w:rsidR="002B01BF" w:rsidRPr="006C71C7">
              <w:rPr>
                <w:rFonts w:ascii="標楷體" w:eastAsia="標楷體" w:hAnsi="標楷體" w:hint="eastAsia"/>
              </w:rPr>
              <w:t>具、護理照護、醫療控制器、醫療電源等醫療</w:t>
            </w:r>
            <w:r w:rsidR="009C5A82" w:rsidRPr="006C71C7">
              <w:rPr>
                <w:rFonts w:ascii="標楷體" w:eastAsia="標楷體" w:hAnsi="標楷體" w:hint="eastAsia"/>
                <w:snapToGrid w:val="0"/>
              </w:rPr>
              <w:t>電腦相關產品之研發、製造及銷售</w:t>
            </w:r>
            <w:r w:rsidRPr="006C71C7">
              <w:rPr>
                <w:rFonts w:ascii="標楷體" w:eastAsia="標楷體" w:hAnsi="標楷體"/>
                <w:snapToGrid w:val="0"/>
              </w:rPr>
              <w:t>。</w:t>
            </w:r>
            <w:r w:rsidRPr="006C71C7">
              <w:rPr>
                <w:rFonts w:ascii="標楷體" w:eastAsia="標楷體" w:hAnsi="標楷體"/>
              </w:rPr>
              <w:t xml:space="preserve">                 </w:t>
            </w:r>
          </w:p>
        </w:tc>
      </w:tr>
      <w:tr w:rsidR="00161123" w:rsidRPr="009373D0" w:rsidTr="00B60F0D">
        <w:trPr>
          <w:cantSplit/>
          <w:trHeight w:val="5581"/>
        </w:trPr>
        <w:tc>
          <w:tcPr>
            <w:tcW w:w="9575" w:type="dxa"/>
            <w:gridSpan w:val="5"/>
            <w:vAlign w:val="center"/>
          </w:tcPr>
          <w:p w:rsidR="00161123" w:rsidRPr="009373D0" w:rsidRDefault="00161123">
            <w:pPr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9373D0">
              <w:rPr>
                <w:rFonts w:ascii="標楷體" w:eastAsia="標楷體" w:hAnsi="標楷體"/>
                <w:sz w:val="20"/>
                <w:szCs w:val="26"/>
              </w:rPr>
              <w:t>公司所屬產業之上、中、下游結構圖：</w:t>
            </w:r>
          </w:p>
          <w:p w:rsidR="00872013" w:rsidRPr="00872013" w:rsidRDefault="00872013" w:rsidP="00872013">
            <w:pPr>
              <w:tabs>
                <w:tab w:val="left" w:pos="1568"/>
              </w:tabs>
              <w:adjustRightInd w:val="0"/>
              <w:snapToGrid w:val="0"/>
              <w:ind w:leftChars="650" w:left="1560" w:right="-45" w:firstLineChars="200" w:firstLine="480"/>
              <w:jc w:val="both"/>
              <w:textAlignment w:val="baseline"/>
              <w:rPr>
                <w:rFonts w:eastAsia="標楷體"/>
                <w:kern w:val="0"/>
                <w:szCs w:val="20"/>
                <w:u w:val="single"/>
              </w:rPr>
            </w:pPr>
            <w:r w:rsidRPr="00872013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>上</w:t>
            </w:r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 xml:space="preserve">  </w:t>
            </w:r>
            <w:proofErr w:type="gramStart"/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>游</w:t>
            </w:r>
            <w:proofErr w:type="gramEnd"/>
            <w:r w:rsidRPr="00872013">
              <w:rPr>
                <w:rFonts w:eastAsia="標楷體" w:hint="eastAsia"/>
                <w:kern w:val="0"/>
                <w:szCs w:val="20"/>
              </w:rPr>
              <w:t xml:space="preserve">                </w:t>
            </w:r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>中</w:t>
            </w:r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 xml:space="preserve"> </w:t>
            </w:r>
            <w:proofErr w:type="gramStart"/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>游</w:t>
            </w:r>
            <w:proofErr w:type="gramEnd"/>
            <w:r w:rsidRPr="00872013">
              <w:rPr>
                <w:rFonts w:eastAsia="標楷體" w:hint="eastAsia"/>
                <w:kern w:val="0"/>
                <w:szCs w:val="20"/>
              </w:rPr>
              <w:t xml:space="preserve">                 </w:t>
            </w:r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>下</w:t>
            </w:r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 xml:space="preserve"> </w:t>
            </w:r>
            <w:proofErr w:type="gramStart"/>
            <w:r w:rsidRPr="00872013">
              <w:rPr>
                <w:rFonts w:eastAsia="標楷體" w:hint="eastAsia"/>
                <w:kern w:val="0"/>
                <w:szCs w:val="20"/>
                <w:u w:val="single"/>
              </w:rPr>
              <w:t>游</w:t>
            </w:r>
            <w:proofErr w:type="gramEnd"/>
          </w:p>
          <w:p w:rsidR="00872013" w:rsidRDefault="00872013" w:rsidP="00872013">
            <w:pPr>
              <w:tabs>
                <w:tab w:val="left" w:pos="1568"/>
              </w:tabs>
              <w:adjustRightInd w:val="0"/>
              <w:snapToGrid w:val="0"/>
              <w:ind w:leftChars="650" w:left="1560" w:right="-45" w:firstLineChars="200" w:firstLine="48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  <w:p w:rsidR="00872013" w:rsidRDefault="006B23B6" w:rsidP="00872013">
            <w:pPr>
              <w:tabs>
                <w:tab w:val="left" w:pos="1568"/>
              </w:tabs>
              <w:adjustRightInd w:val="0"/>
              <w:snapToGrid w:val="0"/>
              <w:ind w:leftChars="650" w:left="1560" w:right="-45" w:firstLineChars="200" w:firstLine="48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noProof/>
                <w:kern w:val="0"/>
                <w:szCs w:val="20"/>
              </w:rPr>
              <w:drawing>
                <wp:inline distT="0" distB="0" distL="0" distR="0">
                  <wp:extent cx="4119245" cy="2741930"/>
                  <wp:effectExtent l="0" t="0" r="0" b="1270"/>
                  <wp:docPr id="220" name="圖片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45" cy="274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1123" w:rsidRPr="00B60F0D" w:rsidRDefault="0016112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1123" w:rsidRPr="009373D0" w:rsidTr="002B01BF">
        <w:tc>
          <w:tcPr>
            <w:tcW w:w="1165" w:type="dxa"/>
            <w:shd w:val="clear" w:color="auto" w:fill="F9F9F9"/>
            <w:vAlign w:val="center"/>
          </w:tcPr>
          <w:p w:rsidR="00161123" w:rsidRPr="009373D0" w:rsidRDefault="001611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0"/>
                <w:szCs w:val="26"/>
              </w:rPr>
            </w:pPr>
            <w:r w:rsidRPr="009373D0">
              <w:rPr>
                <w:rFonts w:ascii="標楷體" w:eastAsia="標楷體" w:hAnsi="標楷體"/>
                <w:sz w:val="20"/>
                <w:szCs w:val="26"/>
              </w:rPr>
              <w:t>產品名稱</w:t>
            </w:r>
          </w:p>
        </w:tc>
        <w:tc>
          <w:tcPr>
            <w:tcW w:w="2085" w:type="dxa"/>
            <w:shd w:val="clear" w:color="auto" w:fill="F9F9F9"/>
            <w:vAlign w:val="center"/>
          </w:tcPr>
          <w:p w:rsidR="00161123" w:rsidRPr="009373D0" w:rsidRDefault="00161123">
            <w:pPr>
              <w:pStyle w:val="a3"/>
              <w:spacing w:line="300" w:lineRule="exact"/>
              <w:rPr>
                <w:rFonts w:ascii="標楷體" w:hAnsi="標楷體"/>
                <w:sz w:val="20"/>
                <w:szCs w:val="26"/>
              </w:rPr>
            </w:pPr>
            <w:r w:rsidRPr="009373D0">
              <w:rPr>
                <w:rFonts w:ascii="標楷體" w:hAnsi="標楷體"/>
                <w:sz w:val="20"/>
                <w:szCs w:val="26"/>
              </w:rPr>
              <w:t>產品圖示</w:t>
            </w:r>
          </w:p>
          <w:p w:rsidR="00161123" w:rsidRPr="009373D0" w:rsidRDefault="00161123">
            <w:pPr>
              <w:pStyle w:val="a3"/>
              <w:spacing w:line="300" w:lineRule="exact"/>
              <w:rPr>
                <w:rFonts w:ascii="標楷體" w:hAnsi="標楷體"/>
                <w:sz w:val="20"/>
                <w:szCs w:val="26"/>
              </w:rPr>
            </w:pPr>
            <w:r w:rsidRPr="009373D0">
              <w:rPr>
                <w:rFonts w:ascii="標楷體" w:hAnsi="標楷體"/>
                <w:sz w:val="20"/>
                <w:szCs w:val="26"/>
              </w:rPr>
              <w:t>及介紹</w:t>
            </w:r>
          </w:p>
        </w:tc>
        <w:tc>
          <w:tcPr>
            <w:tcW w:w="3177" w:type="dxa"/>
            <w:shd w:val="clear" w:color="auto" w:fill="F9F9F9"/>
            <w:vAlign w:val="center"/>
          </w:tcPr>
          <w:p w:rsidR="00161123" w:rsidRPr="009373D0" w:rsidRDefault="00161123">
            <w:pPr>
              <w:pStyle w:val="a3"/>
              <w:spacing w:line="300" w:lineRule="exact"/>
              <w:rPr>
                <w:rFonts w:ascii="標楷體" w:hAnsi="標楷體"/>
                <w:sz w:val="20"/>
                <w:szCs w:val="26"/>
              </w:rPr>
            </w:pPr>
            <w:r w:rsidRPr="009373D0">
              <w:rPr>
                <w:rFonts w:ascii="標楷體" w:hAnsi="標楷體"/>
                <w:sz w:val="20"/>
                <w:szCs w:val="26"/>
              </w:rPr>
              <w:t>重要用途或功能</w:t>
            </w:r>
          </w:p>
        </w:tc>
        <w:tc>
          <w:tcPr>
            <w:tcW w:w="1787" w:type="dxa"/>
            <w:shd w:val="clear" w:color="auto" w:fill="F9F9F9"/>
          </w:tcPr>
          <w:p w:rsidR="00161123" w:rsidRPr="009373D0" w:rsidRDefault="00161123">
            <w:pPr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9373D0">
              <w:rPr>
                <w:rFonts w:ascii="標楷體" w:eastAsia="標楷體" w:hAnsi="標楷體" w:hint="eastAsia"/>
                <w:sz w:val="20"/>
              </w:rPr>
              <w:t>最近</w:t>
            </w:r>
            <w:proofErr w:type="gramStart"/>
            <w:r w:rsidRPr="009373D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9373D0">
              <w:rPr>
                <w:rFonts w:ascii="標楷體" w:eastAsia="標楷體" w:hAnsi="標楷體" w:hint="eastAsia"/>
                <w:sz w:val="20"/>
              </w:rPr>
              <w:t>年度</w:t>
            </w:r>
          </w:p>
          <w:p w:rsidR="00161123" w:rsidRPr="009373D0" w:rsidRDefault="001611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  <w:szCs w:val="26"/>
              </w:rPr>
              <w:t>營收金額(仟元)</w:t>
            </w:r>
          </w:p>
        </w:tc>
        <w:tc>
          <w:tcPr>
            <w:tcW w:w="1361" w:type="dxa"/>
            <w:shd w:val="clear" w:color="auto" w:fill="F9F9F9"/>
          </w:tcPr>
          <w:p w:rsidR="00161123" w:rsidRPr="009373D0" w:rsidRDefault="00161123">
            <w:pPr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proofErr w:type="gramStart"/>
            <w:r w:rsidRPr="009373D0">
              <w:rPr>
                <w:rFonts w:ascii="標楷體" w:eastAsia="標楷體" w:hAnsi="標楷體"/>
                <w:sz w:val="20"/>
                <w:szCs w:val="26"/>
              </w:rPr>
              <w:t>佔</w:t>
            </w:r>
            <w:proofErr w:type="gramEnd"/>
            <w:r w:rsidRPr="009373D0">
              <w:rPr>
                <w:rFonts w:ascii="標楷體" w:eastAsia="標楷體" w:hAnsi="標楷體"/>
                <w:sz w:val="20"/>
                <w:szCs w:val="26"/>
              </w:rPr>
              <w:t>總營收</w:t>
            </w:r>
          </w:p>
          <w:p w:rsidR="00161123" w:rsidRPr="009373D0" w:rsidRDefault="001611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  <w:szCs w:val="26"/>
              </w:rPr>
              <w:t>比重(%)</w:t>
            </w:r>
          </w:p>
        </w:tc>
      </w:tr>
      <w:tr w:rsidR="009C5A82" w:rsidRPr="009373D0" w:rsidTr="00B60F0D">
        <w:trPr>
          <w:trHeight w:val="989"/>
        </w:trPr>
        <w:tc>
          <w:tcPr>
            <w:tcW w:w="1165" w:type="dxa"/>
            <w:vAlign w:val="center"/>
          </w:tcPr>
          <w:p w:rsidR="009C5A82" w:rsidRPr="00BD0A41" w:rsidRDefault="009C5A82" w:rsidP="00B60F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6"/>
              </w:rPr>
              <w:t>醫療用電腦及顯示器</w:t>
            </w:r>
          </w:p>
        </w:tc>
        <w:tc>
          <w:tcPr>
            <w:tcW w:w="2085" w:type="dxa"/>
            <w:vAlign w:val="center"/>
          </w:tcPr>
          <w:p w:rsidR="009C5A82" w:rsidRPr="009373D0" w:rsidRDefault="006B23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800080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800080"/>
                <w:szCs w:val="26"/>
              </w:rPr>
              <w:drawing>
                <wp:inline distT="0" distB="0" distL="0" distR="0">
                  <wp:extent cx="879475" cy="723265"/>
                  <wp:effectExtent l="0" t="0" r="0" b="635"/>
                  <wp:docPr id="4" name="圖片 4" descr="VENUS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NUS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vAlign w:val="center"/>
          </w:tcPr>
          <w:p w:rsidR="009C5A82" w:rsidRPr="00BD0A41" w:rsidRDefault="00B60F0D" w:rsidP="00B60F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B60F0D">
              <w:rPr>
                <w:rFonts w:ascii="標楷體" w:eastAsia="標楷體" w:hAnsi="標楷體" w:hint="eastAsia"/>
                <w:sz w:val="20"/>
                <w:szCs w:val="26"/>
              </w:rPr>
              <w:t>進階級醫療專用平台、醫療級無風扇平板電腦、移動式護理車、床邊資訊娛樂站、</w:t>
            </w:r>
            <w:proofErr w:type="gramStart"/>
            <w:r w:rsidRPr="00B60F0D">
              <w:rPr>
                <w:rFonts w:ascii="標楷體" w:eastAsia="標楷體" w:hAnsi="標楷體" w:hint="eastAsia"/>
                <w:sz w:val="20"/>
                <w:szCs w:val="26"/>
              </w:rPr>
              <w:t>移動式診間</w:t>
            </w:r>
            <w:proofErr w:type="gramEnd"/>
            <w:r w:rsidRPr="00B60F0D">
              <w:rPr>
                <w:rFonts w:ascii="標楷體" w:eastAsia="標楷體" w:hAnsi="標楷體" w:hint="eastAsia"/>
                <w:sz w:val="20"/>
                <w:szCs w:val="26"/>
              </w:rPr>
              <w:t>工作站、醫療級顯示器</w:t>
            </w:r>
          </w:p>
        </w:tc>
        <w:tc>
          <w:tcPr>
            <w:tcW w:w="1787" w:type="dxa"/>
            <w:vAlign w:val="center"/>
          </w:tcPr>
          <w:p w:rsidR="009C5A82" w:rsidRDefault="009C5A82" w:rsidP="009C5A82">
            <w:pPr>
              <w:ind w:rightChars="61" w:right="146"/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562,989</w:t>
            </w:r>
          </w:p>
        </w:tc>
        <w:tc>
          <w:tcPr>
            <w:tcW w:w="1361" w:type="dxa"/>
            <w:vAlign w:val="center"/>
          </w:tcPr>
          <w:p w:rsidR="009C5A82" w:rsidRPr="009C5A82" w:rsidRDefault="009C5A82" w:rsidP="009C5A82">
            <w:pPr>
              <w:ind w:rightChars="71" w:right="170"/>
              <w:jc w:val="right"/>
              <w:rPr>
                <w:color w:val="000000"/>
              </w:rPr>
            </w:pPr>
            <w:r w:rsidRPr="009C5A82">
              <w:rPr>
                <w:color w:val="000000"/>
              </w:rPr>
              <w:t>72.06</w:t>
            </w:r>
          </w:p>
        </w:tc>
      </w:tr>
      <w:tr w:rsidR="009C5A82" w:rsidRPr="009373D0" w:rsidTr="00B60F0D">
        <w:trPr>
          <w:trHeight w:val="920"/>
        </w:trPr>
        <w:tc>
          <w:tcPr>
            <w:tcW w:w="1165" w:type="dxa"/>
            <w:vAlign w:val="center"/>
          </w:tcPr>
          <w:p w:rsidR="009C5A82" w:rsidRDefault="009C5A82" w:rsidP="00B60F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BD0A41">
              <w:rPr>
                <w:rFonts w:ascii="標楷體" w:eastAsia="標楷體" w:hAnsi="標楷體" w:hint="eastAsia"/>
                <w:sz w:val="20"/>
                <w:szCs w:val="26"/>
              </w:rPr>
              <w:t>行動醫療</w:t>
            </w:r>
          </w:p>
          <w:p w:rsidR="009C5A82" w:rsidRPr="00BD0A41" w:rsidRDefault="009C5A82" w:rsidP="00B60F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BD0A41">
              <w:rPr>
                <w:rFonts w:ascii="標楷體" w:eastAsia="標楷體" w:hAnsi="標楷體" w:hint="eastAsia"/>
                <w:sz w:val="20"/>
                <w:szCs w:val="26"/>
              </w:rPr>
              <w:t>輔具</w:t>
            </w:r>
          </w:p>
        </w:tc>
        <w:tc>
          <w:tcPr>
            <w:tcW w:w="2085" w:type="dxa"/>
            <w:vAlign w:val="center"/>
          </w:tcPr>
          <w:p w:rsidR="009C5A82" w:rsidRPr="00B60F0D" w:rsidRDefault="006B23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6"/>
              </w:rPr>
              <w:drawing>
                <wp:inline distT="0" distB="0" distL="0" distR="0">
                  <wp:extent cx="995680" cy="763905"/>
                  <wp:effectExtent l="0" t="0" r="0" b="0"/>
                  <wp:docPr id="5" name="圖片 5" descr="Medical Tablet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ical Tablet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vAlign w:val="center"/>
          </w:tcPr>
          <w:p w:rsidR="009C5A82" w:rsidRPr="00B60F0D" w:rsidRDefault="004E4C3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4E4C38">
              <w:rPr>
                <w:rFonts w:ascii="標楷體" w:eastAsia="標楷體" w:hAnsi="標楷體" w:hint="eastAsia"/>
                <w:sz w:val="22"/>
                <w:szCs w:val="26"/>
              </w:rPr>
              <w:t>輕薄之手持醫療平板設計，內建二維條碼讀卡機以及NFC，取代傳統文件實現醫療紀錄零錯誤</w:t>
            </w:r>
          </w:p>
        </w:tc>
        <w:tc>
          <w:tcPr>
            <w:tcW w:w="1787" w:type="dxa"/>
            <w:vAlign w:val="center"/>
          </w:tcPr>
          <w:p w:rsidR="009C5A82" w:rsidRDefault="009C5A82" w:rsidP="009C5A82">
            <w:pPr>
              <w:ind w:rightChars="61" w:right="146"/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209,458</w:t>
            </w:r>
          </w:p>
        </w:tc>
        <w:tc>
          <w:tcPr>
            <w:tcW w:w="1361" w:type="dxa"/>
            <w:vAlign w:val="center"/>
          </w:tcPr>
          <w:p w:rsidR="009C5A82" w:rsidRPr="009C5A82" w:rsidRDefault="009C5A82" w:rsidP="009C5A82">
            <w:pPr>
              <w:ind w:rightChars="71" w:right="170"/>
              <w:jc w:val="right"/>
              <w:rPr>
                <w:color w:val="000000"/>
              </w:rPr>
            </w:pPr>
            <w:r w:rsidRPr="009C5A82">
              <w:rPr>
                <w:color w:val="000000"/>
              </w:rPr>
              <w:t>26.81</w:t>
            </w:r>
          </w:p>
        </w:tc>
      </w:tr>
      <w:tr w:rsidR="009C5A82" w:rsidRPr="009373D0" w:rsidTr="00B60F0D">
        <w:tc>
          <w:tcPr>
            <w:tcW w:w="1165" w:type="dxa"/>
            <w:vAlign w:val="center"/>
          </w:tcPr>
          <w:p w:rsidR="009C5A82" w:rsidRPr="009373D0" w:rsidRDefault="009C5A82" w:rsidP="00B60F0D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D0A41">
              <w:rPr>
                <w:rFonts w:ascii="標楷體" w:eastAsia="標楷體" w:hAnsi="標楷體" w:hint="eastAsia"/>
                <w:sz w:val="20"/>
                <w:szCs w:val="26"/>
              </w:rPr>
              <w:t>其他(</w:t>
            </w:r>
            <w:proofErr w:type="gramStart"/>
            <w:r w:rsidRPr="00BD0A41">
              <w:rPr>
                <w:rFonts w:ascii="標楷體" w:eastAsia="標楷體" w:hAnsi="標楷體" w:hint="eastAsia"/>
                <w:sz w:val="20"/>
                <w:szCs w:val="26"/>
              </w:rPr>
              <w:t>註</w:t>
            </w:r>
            <w:proofErr w:type="gramEnd"/>
            <w:r w:rsidRPr="00BD0A41">
              <w:rPr>
                <w:rFonts w:ascii="標楷體" w:eastAsia="標楷體" w:hAnsi="標楷體" w:hint="eastAsia"/>
                <w:sz w:val="20"/>
                <w:szCs w:val="26"/>
              </w:rPr>
              <w:t>)</w:t>
            </w:r>
          </w:p>
        </w:tc>
        <w:tc>
          <w:tcPr>
            <w:tcW w:w="2085" w:type="dxa"/>
            <w:vAlign w:val="center"/>
          </w:tcPr>
          <w:p w:rsidR="009C5A82" w:rsidRPr="009373D0" w:rsidRDefault="009C5A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6600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C5A82" w:rsidRPr="009373D0" w:rsidRDefault="009C5A8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9C5A82">
              <w:rPr>
                <w:rFonts w:ascii="標楷體" w:eastAsia="標楷體" w:hAnsi="標楷體" w:hint="eastAsia"/>
                <w:sz w:val="20"/>
                <w:szCs w:val="26"/>
              </w:rPr>
              <w:t>出售零配件、商品及勞務收入等</w:t>
            </w:r>
          </w:p>
        </w:tc>
        <w:tc>
          <w:tcPr>
            <w:tcW w:w="1787" w:type="dxa"/>
            <w:vAlign w:val="center"/>
          </w:tcPr>
          <w:p w:rsidR="009C5A82" w:rsidRDefault="009C5A82" w:rsidP="009C5A82">
            <w:pPr>
              <w:ind w:rightChars="61" w:right="146"/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8,804</w:t>
            </w:r>
          </w:p>
        </w:tc>
        <w:tc>
          <w:tcPr>
            <w:tcW w:w="1361" w:type="dxa"/>
            <w:vAlign w:val="center"/>
          </w:tcPr>
          <w:p w:rsidR="009C5A82" w:rsidRPr="009C5A82" w:rsidRDefault="009C5A82" w:rsidP="009C5A82">
            <w:pPr>
              <w:ind w:rightChars="71" w:right="170"/>
              <w:jc w:val="right"/>
              <w:rPr>
                <w:color w:val="000000"/>
              </w:rPr>
            </w:pPr>
            <w:r w:rsidRPr="009C5A82">
              <w:rPr>
                <w:color w:val="000000"/>
              </w:rPr>
              <w:t>1.13</w:t>
            </w:r>
          </w:p>
        </w:tc>
      </w:tr>
      <w:tr w:rsidR="00161123" w:rsidRPr="009373D0" w:rsidTr="002B01BF">
        <w:trPr>
          <w:cantSplit/>
        </w:trPr>
        <w:tc>
          <w:tcPr>
            <w:tcW w:w="6427" w:type="dxa"/>
            <w:gridSpan w:val="3"/>
            <w:shd w:val="clear" w:color="auto" w:fill="F9F9F9"/>
          </w:tcPr>
          <w:p w:rsidR="00161123" w:rsidRPr="009373D0" w:rsidRDefault="0016112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合</w:t>
            </w:r>
            <w:r w:rsidRPr="009373D0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9373D0">
              <w:rPr>
                <w:rFonts w:ascii="標楷體" w:eastAsia="標楷體" w:hAnsi="標楷體"/>
                <w:sz w:val="20"/>
              </w:rPr>
              <w:t>計</w:t>
            </w:r>
          </w:p>
        </w:tc>
        <w:tc>
          <w:tcPr>
            <w:tcW w:w="1787" w:type="dxa"/>
            <w:vAlign w:val="center"/>
          </w:tcPr>
          <w:p w:rsidR="00161123" w:rsidRPr="009C5A82" w:rsidRDefault="009C5A82" w:rsidP="009C5A82">
            <w:pPr>
              <w:ind w:rightChars="61" w:right="146"/>
              <w:jc w:val="right"/>
              <w:rPr>
                <w:color w:val="000000"/>
              </w:rPr>
            </w:pPr>
            <w:r w:rsidRPr="009C5A82">
              <w:rPr>
                <w:color w:val="000000"/>
              </w:rPr>
              <w:t>781,251</w:t>
            </w:r>
          </w:p>
        </w:tc>
        <w:tc>
          <w:tcPr>
            <w:tcW w:w="1361" w:type="dxa"/>
            <w:vAlign w:val="center"/>
          </w:tcPr>
          <w:p w:rsidR="00161123" w:rsidRPr="009C5A82" w:rsidRDefault="009C5A82" w:rsidP="009C5A82">
            <w:pPr>
              <w:ind w:rightChars="71" w:right="17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100.00</w:t>
            </w:r>
          </w:p>
        </w:tc>
      </w:tr>
    </w:tbl>
    <w:p w:rsidR="00161123" w:rsidRPr="009373D0" w:rsidRDefault="00161123">
      <w:pPr>
        <w:jc w:val="both"/>
        <w:rPr>
          <w:rFonts w:ascii="標楷體" w:eastAsia="標楷體" w:hAnsi="標楷體"/>
        </w:rPr>
      </w:pPr>
      <w:r w:rsidRPr="009373D0">
        <w:rPr>
          <w:rFonts w:ascii="標楷體" w:eastAsia="標楷體" w:hAnsi="標楷體" w:hint="eastAsia"/>
        </w:rPr>
        <w:t xml:space="preserve">                                                                          </w:t>
      </w:r>
      <w:r w:rsidR="006B23B6">
        <w:rPr>
          <w:rFonts w:ascii="標楷體" w:eastAsia="標楷體" w:hAnsi="標楷體" w:hint="eastAsia"/>
          <w:noProof/>
        </w:rPr>
        <w:drawing>
          <wp:inline distT="0" distB="0" distL="0" distR="0">
            <wp:extent cx="410845" cy="150495"/>
            <wp:effectExtent l="0" t="0" r="8255" b="1905"/>
            <wp:docPr id="6" name="圖片 6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Pr="009373D0" w:rsidRDefault="00161123">
      <w:pPr>
        <w:rPr>
          <w:rFonts w:ascii="標楷體" w:eastAsia="標楷體" w:hAnsi="標楷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288"/>
        <w:gridCol w:w="1320"/>
        <w:gridCol w:w="1320"/>
        <w:gridCol w:w="1320"/>
        <w:gridCol w:w="1322"/>
        <w:gridCol w:w="1800"/>
      </w:tblGrid>
      <w:tr w:rsidR="00161123" w:rsidRPr="009373D0" w:rsidTr="000C7ED7">
        <w:trPr>
          <w:cantSplit/>
          <w:trHeight w:hRule="exact" w:val="1092"/>
        </w:trPr>
        <w:tc>
          <w:tcPr>
            <w:tcW w:w="10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6" w:name="最近五年度簡明損益表及申請年度截至最近月份止之自結損益表"/>
          <w:bookmarkEnd w:id="6"/>
          <w:p w:rsidR="00161123" w:rsidRPr="009373D0" w:rsidRDefault="006B23B6">
            <w:pPr>
              <w:ind w:firstLineChars="500" w:firstLine="120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642100" cy="685165"/>
                      <wp:effectExtent l="0" t="1905" r="635" b="0"/>
                      <wp:wrapNone/>
                      <wp:docPr id="10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0" type="#_x0000_t202" style="position:absolute;left:0;text-align:left;margin-left:0;margin-top:-.55pt;width:523pt;height:5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KzQIAANUFAAAOAAAAZHJzL2Uyb0RvYy54bWysVMlu2zAQvRfoPxC8O1ogKZZgOUjiuCiQ&#10;LkBS9ExLlESUIlWStpwW/fcOSdlVmxyKojJAc5kZznt8M6urY8/RgSrNpChxdBFiREUlaybaEn96&#10;3C6WGGlDRE24FLTET1Tjq/XrV6txKGgsO8lrqhAEEboYhxJ3xgxFEOiqoz3RF3KgAg4bqXpiYKna&#10;oFZkhOg9D+IwzIJRqnpQsqJaw+7GH+K1i980tDIfmkZTg3iJITfjRuXGnR2D9YoUrSJDx6opDfIP&#10;WfSECbj0HGpDDEF7xZ6F6lmlpJaNuahkH8imYRV1GABNFP6B5qEjA3VYgBw9nGnS/y9s9f7wUSFW&#10;w9sBPYL08EaP9GjQjTyiPLH8jIMuwOxhAENzhH2wdVj1cC+rLxoJedsR0dJrpeTYUVJDfpH1DGau&#10;Po62QXbjO1nDPWRvpAt0bFRvyQM6EESHRJ7Ob2NzqWAzy5I4CuGogrNsmUZZ6q4gxcl7UNq8obJH&#10;dlJiBW/vopPDvTY2G1KcTKaXqreMc6Sk+cxM58g+QWs1+DgrjQYJeEKPWLW7W67QgYCc7jb2NyXR&#10;6rl1GsL33GPrvhc9ANqLLs8uARTn5DgTCIgvcZp4d6Qrwql9zNMlijiQNjku7CikBe3p8DvA8ATW&#10;cu1E+z2P4iS8ifPFNlteLpJtki7yy3C5CKP8Js/CJE822x8WYJQUHatrKu6ZoKcCipK/E+hUyl76&#10;roTQWOI8jVPPneTsnL2eU+/QuuIFOvTcrGcG+glnfYmXnhOASgqryjtRu7khjPt58Hv6TiLAwenf&#10;seI0bGXrBWyOu6Mrl3Np7GT9BKIGFTnlQi+ESSfVN4xG6Csl1l/3RFGM+FsBQsqjJLGNyC2S9DKG&#10;hZqf7OYnRFQQqsQGw0Pb6a3xzWs/KNZ2cJMvRSGvoZga5nRuq85nNZUg9A6HaepztjnN187qVzde&#10;/wQAAP//AwBQSwMEFAAGAAgAAAAhAMUjbATfAAAACAEAAA8AAABkcnMvZG93bnJldi54bWxMj09L&#10;w0AQxe+C32EZwVu7SSkxxExKUVrxD4Jtwes2OybB7Gya3abx27s56W1m3uPN7+Wr0bRioN41lhHi&#10;eQSCuLS64QrhsN/MUhDOK9aqtUwIP+RgVVxf5SrT9sIfNOx8JUIIu0wh1N53mZSurMkoN7cdcdC+&#10;bG+UD2tfSd2rSwg3rVxEUSKNajh8qFVHDzWV37uzQRien95fNy9E60f+fNsfTHl32qaItzfj+h6E&#10;p9H/mWHCD+hQBKajPbN2okUIRTzCLI5BTGq0TMLlOE1JCrLI5f8CxS8AAAD//wMAUEsBAi0AFAAG&#10;AAgAAAAhALaDOJL+AAAA4QEAABMAAAAAAAAAAAAAAAAAAAAAAFtDb250ZW50X1R5cGVzXS54bWxQ&#10;SwECLQAUAAYACAAAACEAOP0h/9YAAACUAQAACwAAAAAAAAAAAAAAAAAvAQAAX3JlbHMvLnJlbHNQ&#10;SwECLQAUAAYACAAAACEA6WL1Cs0CAADVBQAADgAAAAAAAAAAAAAAAAAuAgAAZHJzL2Uyb0RvYy54&#10;bWxQSwECLQAUAAYACAAAACEAxSNsBN8AAAAIAQAADwAAAAAAAAAAAAAAAAAnBQAAZHJzL2Rvd25y&#10;ZXYueG1sUEsFBgAAAAAEAAQA8wAAADMGAAAAAA==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>五</w:t>
            </w:r>
            <w:proofErr w:type="gramEnd"/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>年度簡明損益表及申請年度截至最近月份止之</w:t>
            </w:r>
            <w:r w:rsidR="00161123" w:rsidRPr="009373D0">
              <w:rPr>
                <w:rFonts w:ascii="標楷體" w:eastAsia="標楷體" w:hAnsi="標楷體"/>
                <w:b/>
                <w:bCs/>
                <w:sz w:val="28"/>
                <w:u w:val="single"/>
              </w:rPr>
              <w:t>自結</w:t>
            </w:r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 xml:space="preserve">損益表 </w:t>
            </w:r>
          </w:p>
          <w:p w:rsidR="00161123" w:rsidRPr="009373D0" w:rsidRDefault="00161123">
            <w:pPr>
              <w:ind w:firstLineChars="3500" w:firstLine="8400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 xml:space="preserve">單位：新台幣仟元                      </w:t>
            </w:r>
          </w:p>
        </w:tc>
      </w:tr>
      <w:tr w:rsidR="0091765E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1765E" w:rsidRPr="009373D0" w:rsidRDefault="0091765E">
            <w:pPr>
              <w:ind w:left="57" w:right="57"/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年度</w:t>
            </w:r>
          </w:p>
          <w:p w:rsidR="0091765E" w:rsidRPr="009373D0" w:rsidRDefault="0091765E">
            <w:pPr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000937" w:rsidRDefault="0091765E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99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000937" w:rsidRDefault="0091765E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100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000937" w:rsidRDefault="0091765E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101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000937" w:rsidRDefault="0091765E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102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5E" w:rsidRPr="00000937" w:rsidRDefault="0091765E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103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65E" w:rsidRPr="009373D0" w:rsidRDefault="0091765E">
            <w:pPr>
              <w:jc w:val="center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104</w:t>
            </w:r>
            <w:r w:rsidRPr="009373D0">
              <w:rPr>
                <w:rFonts w:ascii="標楷體" w:eastAsia="標楷體" w:hAnsi="標楷體"/>
              </w:rPr>
              <w:t>年</w:t>
            </w:r>
            <w:proofErr w:type="gramStart"/>
            <w:r w:rsidRPr="009373D0">
              <w:rPr>
                <w:rFonts w:ascii="標楷體" w:eastAsia="標楷體" w:hAnsi="標楷體"/>
              </w:rPr>
              <w:t>截</w:t>
            </w:r>
            <w:proofErr w:type="gramEnd"/>
          </w:p>
          <w:p w:rsidR="0091765E" w:rsidRPr="009373D0" w:rsidRDefault="0091765E">
            <w:pPr>
              <w:jc w:val="center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11</w:t>
            </w:r>
            <w:r w:rsidRPr="009373D0">
              <w:rPr>
                <w:rFonts w:ascii="標楷體" w:eastAsia="標楷體" w:hAnsi="標楷體"/>
              </w:rPr>
              <w:t>月份</w:t>
            </w:r>
            <w:proofErr w:type="gramStart"/>
            <w:r w:rsidRPr="009373D0">
              <w:rPr>
                <w:rFonts w:ascii="標楷體" w:eastAsia="標楷體" w:hAnsi="標楷體"/>
              </w:rPr>
              <w:t>止</w:t>
            </w:r>
            <w:proofErr w:type="gramEnd"/>
          </w:p>
          <w:p w:rsidR="0091765E" w:rsidRPr="009373D0" w:rsidRDefault="0091765E" w:rsidP="00527652">
            <w:pPr>
              <w:ind w:rightChars="-18" w:right="-43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373D0">
              <w:rPr>
                <w:rFonts w:ascii="標楷體" w:eastAsia="標楷體" w:hAnsi="標楷體" w:hint="eastAsia"/>
                <w:b/>
                <w:u w:val="single"/>
              </w:rPr>
              <w:t>(自結數)</w:t>
            </w:r>
          </w:p>
          <w:p w:rsidR="0091765E" w:rsidRPr="009373D0" w:rsidRDefault="0091765E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373D0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9373D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9373D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營業收入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225,129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382,360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457,385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583,54</w:t>
            </w:r>
            <w:r w:rsidRPr="009141BD">
              <w:rPr>
                <w:rFonts w:hint="eastAsia"/>
                <w:color w:val="000000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686,795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 w:rsidRPr="000C7ED7">
              <w:rPr>
                <w:color w:val="000000"/>
              </w:rPr>
              <w:t xml:space="preserve">$ </w:t>
            </w:r>
            <w:r>
              <w:rPr>
                <w:rFonts w:hint="eastAsia"/>
                <w:color w:val="000000"/>
              </w:rPr>
              <w:t>761</w:t>
            </w:r>
            <w:r w:rsidRPr="000C7ED7"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738</w:t>
            </w:r>
            <w:r w:rsidRPr="000C7ED7">
              <w:rPr>
                <w:color w:val="000000"/>
              </w:rPr>
              <w:t xml:space="preserve"> 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營業毛利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62,877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109,539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124,493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150,642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192,526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 w:rsidRPr="000C7ED7">
              <w:rPr>
                <w:color w:val="000000"/>
              </w:rPr>
              <w:t>248,32</w:t>
            </w:r>
            <w:r>
              <w:rPr>
                <w:rFonts w:hint="eastAsia"/>
                <w:color w:val="000000"/>
              </w:rPr>
              <w:t>8</w:t>
            </w:r>
            <w:r w:rsidRPr="000C7ED7">
              <w:rPr>
                <w:color w:val="000000"/>
              </w:rPr>
              <w:t xml:space="preserve"> 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 w:hint="eastAsia"/>
              </w:rPr>
              <w:t>毛利率(%)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27.93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27.22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25.81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 w:rsidRPr="000C7ED7">
              <w:rPr>
                <w:color w:val="000000"/>
              </w:rPr>
              <w:t>32.60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營業外收入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rFonts w:hint="eastAsia"/>
                <w:color w:val="000000"/>
              </w:rPr>
              <w:t>592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2,134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3,165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15,255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23,730 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營業外支出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7,124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2,286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1,821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rFonts w:hint="eastAsia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18,596 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稅前損益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9,619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25,744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33,992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54,793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101,634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140,194 </w:t>
            </w:r>
          </w:p>
        </w:tc>
      </w:tr>
      <w:tr w:rsidR="000C7ED7" w:rsidRPr="009373D0" w:rsidTr="000C7ED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稅後損益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7,984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21,367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27,935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44,304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84,345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111,084 </w:t>
            </w:r>
          </w:p>
        </w:tc>
      </w:tr>
      <w:tr w:rsidR="000C7ED7" w:rsidRPr="009373D0" w:rsidTr="001217B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每股盈餘（元）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2.66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7.12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3.72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rFonts w:hint="eastAsia"/>
                <w:color w:val="000000"/>
              </w:rPr>
              <w:t>3.40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6.47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0C7ED7" w:rsidRDefault="000C7ED7" w:rsidP="000C7ED7">
            <w:pPr>
              <w:ind w:right="198"/>
              <w:jc w:val="right"/>
              <w:rPr>
                <w:color w:val="000000"/>
              </w:rPr>
            </w:pPr>
            <w:r w:rsidRPr="000C7ED7">
              <w:rPr>
                <w:rFonts w:hint="eastAsia"/>
                <w:color w:val="000000"/>
              </w:rPr>
              <w:t>7.74</w:t>
            </w:r>
          </w:p>
        </w:tc>
      </w:tr>
      <w:tr w:rsidR="000C7ED7" w:rsidRPr="009373D0" w:rsidTr="000C7ED7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 w:hint="eastAsia"/>
              </w:rPr>
              <w:t>現金股利(元)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 w:rsidRPr="0091765E">
              <w:rPr>
                <w:rFonts w:hint="eastAsia"/>
                <w:color w:val="000000"/>
              </w:rPr>
              <w:t>2.395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ED7" w:rsidRPr="0091765E" w:rsidRDefault="000C7ED7" w:rsidP="0091765E">
            <w:pPr>
              <w:tabs>
                <w:tab w:val="left" w:pos="1250"/>
              </w:tabs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</w:tr>
      <w:tr w:rsidR="000C7ED7" w:rsidRPr="009373D0" w:rsidTr="001217B1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both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 w:hint="eastAsia"/>
              </w:rPr>
              <w:t>股票股利(資本公積轉增資)(元)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ED7" w:rsidRPr="0091765E" w:rsidRDefault="000C7ED7" w:rsidP="0091765E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</w:tr>
      <w:tr w:rsidR="000C7ED7" w:rsidRPr="009373D0" w:rsidTr="001217B1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ED7" w:rsidRPr="009373D0" w:rsidRDefault="000C7ED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ED7" w:rsidRPr="009373D0" w:rsidRDefault="000C7ED7">
            <w:pPr>
              <w:jc w:val="both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 w:hint="eastAsia"/>
              </w:rPr>
              <w:t>股票股利(盈餘轉增資)(元)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ED7" w:rsidRPr="0091765E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ED7" w:rsidRPr="0091765E" w:rsidRDefault="000C7ED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ED7" w:rsidRPr="009141BD" w:rsidRDefault="000C7ED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</w:tr>
    </w:tbl>
    <w:p w:rsidR="001C62E7" w:rsidRDefault="001C62E7" w:rsidP="001C62E7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r w:rsidRPr="001C62E7">
        <w:rPr>
          <w:rFonts w:ascii="標楷體" w:eastAsia="標楷體" w:hAnsi="標楷體" w:hint="eastAsia"/>
          <w:b/>
        </w:rPr>
        <w:t>資料來源：最近</w:t>
      </w:r>
      <w:proofErr w:type="gramStart"/>
      <w:r w:rsidRPr="001C62E7">
        <w:rPr>
          <w:rFonts w:ascii="標楷體" w:eastAsia="標楷體" w:hAnsi="標楷體" w:hint="eastAsia"/>
          <w:b/>
        </w:rPr>
        <w:t>五</w:t>
      </w:r>
      <w:proofErr w:type="gramEnd"/>
      <w:r w:rsidRPr="001C62E7">
        <w:rPr>
          <w:rFonts w:ascii="標楷體" w:eastAsia="標楷體" w:hAnsi="標楷體" w:hint="eastAsia"/>
          <w:b/>
        </w:rPr>
        <w:t>年度財務數字係經會計師查核簽證之個別財務報告。</w:t>
      </w:r>
    </w:p>
    <w:p w:rsidR="00161123" w:rsidRPr="009373D0" w:rsidRDefault="0020043D" w:rsidP="0020043D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 w:cs="Times New Roman"/>
          <w:kern w:val="2"/>
        </w:rPr>
      </w:pPr>
      <w:r w:rsidRPr="009373D0">
        <w:rPr>
          <w:rFonts w:ascii="標楷體" w:eastAsia="標楷體" w:hAnsi="標楷體" w:hint="eastAsia"/>
          <w:b/>
        </w:rPr>
        <w:t>(</w:t>
      </w:r>
      <w:proofErr w:type="gramStart"/>
      <w:r w:rsidRPr="009373D0">
        <w:rPr>
          <w:rFonts w:ascii="標楷體" w:eastAsia="標楷體" w:hAnsi="標楷體" w:hint="eastAsia"/>
          <w:b/>
        </w:rPr>
        <w:t>註</w:t>
      </w:r>
      <w:proofErr w:type="gramEnd"/>
      <w:r w:rsidRPr="009373D0">
        <w:rPr>
          <w:rFonts w:ascii="標楷體" w:eastAsia="標楷體" w:hAnsi="標楷體" w:hint="eastAsia"/>
          <w:b/>
        </w:rPr>
        <w:t>)係自結數字，未經會計師查核簽證，因此可能與會計師查核結果存有差異，請投資人於參考時審慎評估。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161123" w:rsidRPr="009373D0">
        <w:trPr>
          <w:cantSplit/>
          <w:trHeight w:hRule="exact" w:val="1124"/>
        </w:trPr>
        <w:tc>
          <w:tcPr>
            <w:tcW w:w="10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7" w:name="最近五年度簡明資產負債表"/>
          <w:bookmarkEnd w:id="7"/>
          <w:p w:rsidR="00161123" w:rsidRPr="009373D0" w:rsidRDefault="006B23B6">
            <w:pPr>
              <w:ind w:firstLineChars="1200" w:firstLine="3363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6642100" cy="685165"/>
                      <wp:effectExtent l="0" t="0" r="635" b="2540"/>
                      <wp:wrapNone/>
                      <wp:docPr id="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1" type="#_x0000_t202" style="position:absolute;left:0;text-align:left;margin-left:0;margin-top:.65pt;width:523pt;height:53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AUzQIAANQFAAAOAAAAZHJzL2Uyb0RvYy54bWysVNtu2zAMfR+wfxD0nvoCO4mNOkXbLMOA&#10;7gK0w54VW7aFyZInKbG7Yf8+ik7SbO3DMMwBFN1I8Rwe8vJq7CTZc2OFVgWNLkJKuCp1JVRT0M8P&#10;m9mSEuuYqpjUihf0kVt6tXr96nLocx7rVsuKGwJOlM2HvqCtc30eBLZsecfshe65gsNam445WJom&#10;qAwbwHsngzgM58GgTdUbXXJrYXc9HdIV+q9rXrqPdW25I7KgEJvD0eC49WOwumR5Y1jfivIQBvuH&#10;KDomFDx6crVmjpGdEc9cdaI02uraXZS6C3Rdi5IjBkAThX+guW9ZzxELkGP7E032/7ktP+w/GSKq&#10;gmaUKNZBih746MiNHkm28PQMvc3h1n0P99wI+5BmhGr7O11+tUTp25aphl8bo4eWswrCi7xlcGY6&#10;+bHeyXZ4ryt4h+2cRkdjbTrPHbBBwDuk6fGUGh9LCZvzeRJHIRyVcDZfptE8xSdYfrTujXVvue6I&#10;nxTUQOrRO9vfWeejYfnxyiFR1UZISYx2X4RrkesjtMaCDd6ypNeAJ5wQm2Z7Kw3ZM1DTm7X/HYJo&#10;7PntNITvucUGvxctANqLJs8eARSn4KRQBIgvaJpM5sSWTHLI5UQ/qhFB+uCk8qPSHvREx7QDDB/A&#10;eq5Rsz+yKE7CmzibbebLxSzZJOksW4TLWRhlN9k8TLJkvfnpAUZJ3oqq4upOKH6snyj5O30eKnlS&#10;PlYQGUCHaZxO3GkpTtHbc+oRLdYu0GHPr3XCQTuRoivocuIEoLLcq/KNqnDumJDTPPg9fJQIcHD8&#10;R1ZQw162k4DduB2xWlB9Xt9bXT2CqEFFqFxohTBptflOyQBtpaD2244ZTol8p0BIWZQkvg/hIkkX&#10;MSzM+cn2/ISpElwV1FFItJ/euql37XojmhZemkpR6Wsoplqgzp+iOpQgtA7EdGhzvjedr/HWUzNe&#10;/QIAAP//AwBQSwMEFAAGAAgAAAAhAB28MUDdAAAABwEAAA8AAABkcnMvZG93bnJldi54bWxMj0FP&#10;wzAMhe9I/IfISNxYykBjlKbTBBqIgZDYJnH1GtNWNE5psq78e9wT3Oz3rOfvZYvBNaqnLtSeDVxO&#10;ElDEhbc1lwZ229XFHFSIyBYbz2TghwIs8tOTDFPrj/xO/SaWSkI4pGigirFNtQ5FRQ7DxLfE4n36&#10;zmGUtSu17fAo4a7R0ySZaYc1y4cKW7qvqPjaHJyB/vnp7WW1Jlo+8MfrdueKm+/HuTHnZ8PyDlSk&#10;If4dw4gv6JAL094f2AbVGJAiUdQrUKOZXM9E2I/T7RR0nun//PkvAAAA//8DAFBLAQItABQABgAI&#10;AAAAIQC2gziS/gAAAOEBAAATAAAAAAAAAAAAAAAAAAAAAABbQ29udGVudF9UeXBlc10ueG1sUEsB&#10;Ai0AFAAGAAgAAAAhADj9If/WAAAAlAEAAAsAAAAAAAAAAAAAAAAALwEAAF9yZWxzLy5yZWxzUEsB&#10;Ai0AFAAGAAgAAAAhAKpAkBTNAgAA1AUAAA4AAAAAAAAAAAAAAAAALgIAAGRycy9lMm9Eb2MueG1s&#10;UEsBAi0AFAAGAAgAAAAhAB28MUDdAAAABwEAAA8AAAAAAAAAAAAAAAAAJwUAAGRycy9kb3ducmV2&#10;LnhtbFBLBQYAAAAABAAEAPMAAAAxBgAAAAA=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>五</w:t>
            </w:r>
            <w:proofErr w:type="gramEnd"/>
            <w:r w:rsidR="00161123" w:rsidRPr="009373D0">
              <w:rPr>
                <w:rFonts w:ascii="標楷體" w:eastAsia="標楷體" w:hAnsi="標楷體"/>
                <w:b/>
                <w:bCs/>
                <w:sz w:val="28"/>
              </w:rPr>
              <w:t>年度簡明資產負債表</w:t>
            </w:r>
          </w:p>
          <w:p w:rsidR="00161123" w:rsidRPr="009373D0" w:rsidRDefault="00161123">
            <w:pPr>
              <w:ind w:firstLineChars="2518" w:firstLine="7057"/>
              <w:rPr>
                <w:rFonts w:ascii="標楷體" w:eastAsia="標楷體" w:hAnsi="標楷體"/>
                <w:b/>
                <w:bCs/>
                <w:sz w:val="28"/>
              </w:rPr>
            </w:pPr>
            <w:r w:rsidRPr="009373D0">
              <w:rPr>
                <w:rFonts w:ascii="標楷體" w:eastAsia="標楷體" w:hAnsi="標楷體"/>
                <w:b/>
                <w:bCs/>
                <w:sz w:val="28"/>
              </w:rPr>
              <w:t xml:space="preserve">  </w:t>
            </w:r>
            <w:r w:rsidRPr="009373D0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  </w:t>
            </w:r>
            <w:r w:rsidRPr="009373D0">
              <w:rPr>
                <w:rFonts w:ascii="標楷體" w:eastAsia="標楷體" w:hAnsi="標楷體"/>
              </w:rPr>
              <w:t>單位：新台幣仟元</w:t>
            </w:r>
          </w:p>
          <w:p w:rsidR="00161123" w:rsidRPr="009373D0" w:rsidRDefault="00161123">
            <w:pPr>
              <w:ind w:firstLineChars="1200" w:firstLine="3363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161123" w:rsidRPr="009373D0" w:rsidRDefault="00161123">
            <w:pPr>
              <w:ind w:firstLineChars="1200" w:firstLine="3363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161123" w:rsidRPr="009373D0" w:rsidRDefault="00161123">
            <w:pPr>
              <w:ind w:firstLineChars="1500" w:firstLine="3600"/>
              <w:rPr>
                <w:rFonts w:ascii="標楷體" w:eastAsia="標楷體" w:hAnsi="標楷體"/>
              </w:rPr>
            </w:pPr>
          </w:p>
          <w:p w:rsidR="00161123" w:rsidRPr="009373D0" w:rsidRDefault="00161123">
            <w:pPr>
              <w:ind w:firstLineChars="1500" w:firstLine="3600"/>
              <w:rPr>
                <w:rFonts w:ascii="標楷體" w:eastAsia="標楷體" w:hAnsi="標楷體"/>
              </w:rPr>
            </w:pPr>
          </w:p>
          <w:p w:rsidR="00161123" w:rsidRPr="009373D0" w:rsidRDefault="00161123">
            <w:pPr>
              <w:ind w:firstLineChars="1500" w:firstLine="3600"/>
              <w:rPr>
                <w:rFonts w:ascii="標楷體" w:eastAsia="標楷體" w:hAnsi="標楷體"/>
              </w:rPr>
            </w:pPr>
          </w:p>
          <w:p w:rsidR="00161123" w:rsidRPr="009373D0" w:rsidRDefault="00161123">
            <w:pPr>
              <w:ind w:firstLineChars="1500" w:firstLine="3600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 xml:space="preserve">         </w:t>
            </w:r>
          </w:p>
          <w:p w:rsidR="00161123" w:rsidRPr="009373D0" w:rsidRDefault="00161123">
            <w:pPr>
              <w:ind w:firstLineChars="900" w:firstLine="2160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 xml:space="preserve">                    單位：新台幣仟元</w:t>
            </w:r>
          </w:p>
        </w:tc>
      </w:tr>
      <w:tr w:rsidR="001C62E7" w:rsidRPr="009373D0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C62E7" w:rsidRPr="009373D0" w:rsidRDefault="001C62E7">
            <w:pPr>
              <w:ind w:left="57" w:right="57"/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年度</w:t>
            </w:r>
          </w:p>
          <w:p w:rsidR="001C62E7" w:rsidRPr="009373D0" w:rsidRDefault="001C62E7">
            <w:pPr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000937" w:rsidRDefault="001C62E7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99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000937" w:rsidRDefault="001C62E7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100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000937" w:rsidRDefault="001C62E7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101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000937" w:rsidRDefault="001C62E7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102</w:t>
            </w:r>
            <w:r w:rsidRPr="00000937">
              <w:rPr>
                <w:rFonts w:eastAsia="標楷體"/>
              </w:rPr>
              <w:t>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000937" w:rsidRDefault="001C62E7" w:rsidP="00617EF7">
            <w:pPr>
              <w:widowControl/>
              <w:jc w:val="center"/>
              <w:rPr>
                <w:rFonts w:eastAsia="標楷體"/>
              </w:rPr>
            </w:pPr>
            <w:r w:rsidRPr="00000937">
              <w:rPr>
                <w:rFonts w:eastAsia="標楷體"/>
              </w:rPr>
              <w:t>103</w:t>
            </w:r>
            <w:r w:rsidRPr="00000937">
              <w:rPr>
                <w:rFonts w:eastAsia="標楷體"/>
              </w:rPr>
              <w:t>年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流動資產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 </w:t>
            </w:r>
            <w:r w:rsidRPr="009141BD">
              <w:rPr>
                <w:color w:val="000000"/>
              </w:rPr>
              <w:t>75,185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 </w:t>
            </w:r>
            <w:r w:rsidRPr="009141BD">
              <w:rPr>
                <w:color w:val="000000"/>
              </w:rPr>
              <w:t>87,676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203,576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235,160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$ </w:t>
            </w:r>
            <w:r w:rsidRPr="009141BD">
              <w:rPr>
                <w:color w:val="000000"/>
              </w:rPr>
              <w:t>321,208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基金及長期投資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14,737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32,262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32,166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41,8</w:t>
            </w:r>
            <w:r>
              <w:rPr>
                <w:rFonts w:hint="eastAsia"/>
                <w:color w:val="000000"/>
              </w:rPr>
              <w:t>09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固定資產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8,908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8,613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13,819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17,089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19,263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無形資產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80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其他資產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255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48</w:t>
            </w:r>
            <w:r w:rsidRPr="009141BD">
              <w:rPr>
                <w:rFonts w:hint="eastAsia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86</w:t>
            </w:r>
            <w:r w:rsidRPr="009141BD">
              <w:rPr>
                <w:rFonts w:hint="eastAsia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1,28</w:t>
            </w:r>
            <w:r w:rsidRPr="009141BD">
              <w:rPr>
                <w:rFonts w:hint="eastAsia"/>
                <w:color w:val="000000"/>
              </w:rPr>
              <w:t>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1,179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資產總額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84,49</w:t>
            </w:r>
            <w:r w:rsidRPr="009141BD">
              <w:rPr>
                <w:rFonts w:hint="eastAsia"/>
                <w:color w:val="000000"/>
              </w:rPr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111,718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250,602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285,701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383,459</w:t>
            </w:r>
          </w:p>
        </w:tc>
      </w:tr>
      <w:tr w:rsidR="001C62E7" w:rsidRPr="009373D0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流動</w:t>
            </w:r>
          </w:p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pStyle w:val="ac"/>
              <w:adjustRightInd/>
              <w:snapToGrid/>
              <w:spacing w:line="240" w:lineRule="auto"/>
              <w:textAlignment w:val="auto"/>
              <w:rPr>
                <w:rFonts w:ascii="標楷體" w:hAnsi="標楷體"/>
                <w:kern w:val="2"/>
                <w:szCs w:val="24"/>
              </w:rPr>
            </w:pPr>
            <w:r w:rsidRPr="009373D0">
              <w:rPr>
                <w:rFonts w:ascii="標楷體" w:hAnsi="標楷體"/>
                <w:kern w:val="2"/>
                <w:szCs w:val="24"/>
              </w:rPr>
              <w:t>分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配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46,506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59,533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132,923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rFonts w:hint="eastAsia"/>
                <w:color w:val="000000"/>
              </w:rPr>
              <w:t>119,731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131,150</w:t>
            </w:r>
          </w:p>
        </w:tc>
      </w:tr>
      <w:tr w:rsidR="001C62E7" w:rsidRPr="009373D0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分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配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53,691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75,763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135,323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rFonts w:hint="eastAsia"/>
                <w:color w:val="000000"/>
              </w:rPr>
              <w:t>125,527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170,273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lastRenderedPageBreak/>
              <w:t>長期負債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ind w:right="5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其他負債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ind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3,969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rFonts w:hint="eastAsia"/>
                <w:color w:val="000000"/>
              </w:rPr>
              <w:t>9,466</w:t>
            </w:r>
          </w:p>
        </w:tc>
      </w:tr>
      <w:tr w:rsidR="001C62E7" w:rsidRPr="009373D0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負債</w:t>
            </w:r>
          </w:p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pStyle w:val="ac"/>
              <w:adjustRightInd/>
              <w:snapToGrid/>
              <w:spacing w:line="240" w:lineRule="auto"/>
              <w:textAlignment w:val="auto"/>
              <w:rPr>
                <w:rFonts w:ascii="標楷體" w:hAnsi="標楷體"/>
                <w:kern w:val="2"/>
                <w:szCs w:val="24"/>
              </w:rPr>
            </w:pPr>
            <w:r w:rsidRPr="009373D0">
              <w:rPr>
                <w:rFonts w:ascii="標楷體" w:hAnsi="標楷體"/>
                <w:kern w:val="2"/>
                <w:szCs w:val="24"/>
              </w:rPr>
              <w:t>分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配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46,506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59,536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136,89</w:t>
            </w:r>
            <w:r w:rsidRPr="009141BD">
              <w:rPr>
                <w:rFonts w:hint="eastAsia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129,19</w:t>
            </w:r>
            <w:r w:rsidRPr="009141BD">
              <w:rPr>
                <w:rFonts w:hint="eastAsia"/>
                <w:color w:val="000000"/>
              </w:rPr>
              <w:t>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147,11</w:t>
            </w:r>
            <w:r w:rsidRPr="009141BD">
              <w:rPr>
                <w:rFonts w:hint="eastAsia"/>
                <w:color w:val="000000"/>
              </w:rPr>
              <w:t>4</w:t>
            </w:r>
          </w:p>
        </w:tc>
      </w:tr>
      <w:tr w:rsidR="001C62E7" w:rsidRPr="009373D0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分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配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53,691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75,766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139,29</w:t>
            </w:r>
            <w:r w:rsidRPr="009141BD">
              <w:rPr>
                <w:rFonts w:hint="eastAsia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134,</w:t>
            </w:r>
            <w:r w:rsidRPr="009141BD">
              <w:rPr>
                <w:rFonts w:hint="eastAsia"/>
                <w:color w:val="000000"/>
              </w:rPr>
              <w:t>993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186,23</w:t>
            </w:r>
            <w:r w:rsidRPr="009141BD">
              <w:rPr>
                <w:rFonts w:hint="eastAsia"/>
                <w:color w:val="000000"/>
              </w:rPr>
              <w:t>7</w:t>
            </w:r>
          </w:p>
        </w:tc>
      </w:tr>
      <w:tr w:rsidR="001C62E7" w:rsidRPr="009373D0" w:rsidTr="00617EF7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股本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30,000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30,000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75,000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96,600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130,410</w:t>
            </w:r>
          </w:p>
        </w:tc>
      </w:tr>
      <w:tr w:rsidR="001C62E7" w:rsidRPr="009373D0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資本公積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5,594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5,594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5,594</w:t>
            </w:r>
          </w:p>
        </w:tc>
      </w:tr>
      <w:tr w:rsidR="001C62E7" w:rsidRPr="009373D0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保留</w:t>
            </w:r>
          </w:p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pStyle w:val="ac"/>
              <w:adjustRightInd/>
              <w:snapToGrid/>
              <w:spacing w:line="240" w:lineRule="auto"/>
              <w:textAlignment w:val="auto"/>
              <w:rPr>
                <w:rFonts w:ascii="標楷體" w:hAnsi="標楷體"/>
                <w:kern w:val="2"/>
                <w:szCs w:val="24"/>
              </w:rPr>
            </w:pPr>
            <w:r w:rsidRPr="009373D0">
              <w:rPr>
                <w:rFonts w:ascii="標楷體" w:hAnsi="標楷體"/>
                <w:kern w:val="2"/>
                <w:szCs w:val="24"/>
              </w:rPr>
              <w:t>分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配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7,984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22,166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33,871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54,175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98,914</w:t>
            </w:r>
          </w:p>
        </w:tc>
      </w:tr>
      <w:tr w:rsidR="001C62E7" w:rsidRPr="009373D0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373D0" w:rsidRDefault="001C62E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E7" w:rsidRPr="009373D0" w:rsidRDefault="001C62E7">
            <w:pPr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分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配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799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5,936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9,871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14,569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2E7" w:rsidRPr="009141BD" w:rsidRDefault="001C62E7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46,750</w:t>
            </w:r>
          </w:p>
        </w:tc>
      </w:tr>
      <w:tr w:rsidR="0091765E" w:rsidRPr="009373D0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373D0" w:rsidRDefault="0091765E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長期股權投資</w:t>
            </w:r>
          </w:p>
          <w:p w:rsidR="0091765E" w:rsidRPr="009373D0" w:rsidRDefault="0091765E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未實現跌價損失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</w:tr>
      <w:tr w:rsidR="0091765E" w:rsidRPr="009373D0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373D0" w:rsidRDefault="0091765E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累積換算調整數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2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Pr="009141BD">
              <w:rPr>
                <w:color w:val="000000"/>
              </w:rPr>
              <w:t>755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13</w:t>
            </w:r>
            <w:r w:rsidRPr="009141BD">
              <w:rPr>
                <w:rFonts w:hint="eastAsia"/>
                <w:color w:val="00000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1,427</w:t>
            </w:r>
          </w:p>
        </w:tc>
      </w:tr>
      <w:tr w:rsidR="0091765E" w:rsidRPr="009373D0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373D0" w:rsidRDefault="0091765E">
            <w:pPr>
              <w:jc w:val="distribute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5E" w:rsidRPr="009373D0" w:rsidRDefault="0091765E">
            <w:pPr>
              <w:pStyle w:val="ac"/>
              <w:adjustRightInd/>
              <w:snapToGrid/>
              <w:spacing w:line="240" w:lineRule="auto"/>
              <w:textAlignment w:val="auto"/>
              <w:rPr>
                <w:rFonts w:ascii="標楷體" w:hAnsi="標楷體"/>
                <w:kern w:val="2"/>
                <w:szCs w:val="24"/>
              </w:rPr>
            </w:pPr>
            <w:r w:rsidRPr="009373D0">
              <w:rPr>
                <w:rFonts w:ascii="標楷體" w:hAnsi="標楷體"/>
                <w:kern w:val="2"/>
                <w:szCs w:val="24"/>
              </w:rPr>
              <w:t>分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配</w:t>
            </w:r>
            <w:r w:rsidRPr="009373D0">
              <w:rPr>
                <w:rFonts w:ascii="標楷體" w:hAnsi="標楷體" w:hint="eastAsia"/>
                <w:kern w:val="2"/>
                <w:szCs w:val="24"/>
              </w:rPr>
              <w:t xml:space="preserve"> </w:t>
            </w:r>
            <w:r w:rsidRPr="009373D0">
              <w:rPr>
                <w:rFonts w:ascii="標楷體"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37,984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52,182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113,7</w:t>
            </w:r>
            <w:r w:rsidRPr="009141BD">
              <w:rPr>
                <w:rFonts w:hint="eastAsia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156,50</w:t>
            </w:r>
            <w:r w:rsidRPr="009141BD">
              <w:rPr>
                <w:rFonts w:hint="eastAsia"/>
                <w:color w:val="000000"/>
              </w:rPr>
              <w:t>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236,34</w:t>
            </w:r>
            <w:r w:rsidRPr="009141BD">
              <w:rPr>
                <w:rFonts w:hint="eastAsia"/>
                <w:color w:val="000000"/>
              </w:rPr>
              <w:t>5</w:t>
            </w:r>
          </w:p>
        </w:tc>
      </w:tr>
      <w:tr w:rsidR="0091765E" w:rsidRPr="009373D0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765E" w:rsidRPr="009373D0" w:rsidRDefault="0091765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765E" w:rsidRPr="009373D0" w:rsidRDefault="0091765E">
            <w:pPr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分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配</w:t>
            </w:r>
            <w:r w:rsidRPr="009373D0">
              <w:rPr>
                <w:rFonts w:ascii="標楷體" w:eastAsia="標楷體" w:hAnsi="標楷體" w:hint="eastAsia"/>
              </w:rPr>
              <w:t xml:space="preserve"> </w:t>
            </w:r>
            <w:r w:rsidRPr="009373D0">
              <w:rPr>
                <w:rFonts w:ascii="標楷體"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30,799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35,952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111,3</w:t>
            </w:r>
            <w:r w:rsidRPr="009141BD">
              <w:rPr>
                <w:rFonts w:hint="eastAsia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150,70</w:t>
            </w:r>
            <w:r w:rsidRPr="009141BD">
              <w:rPr>
                <w:rFonts w:hint="eastAsia"/>
                <w:color w:val="000000"/>
              </w:rPr>
              <w:t>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65E" w:rsidRPr="009141BD" w:rsidRDefault="0091765E" w:rsidP="00617EF7">
            <w:pPr>
              <w:ind w:right="198"/>
              <w:jc w:val="right"/>
              <w:rPr>
                <w:color w:val="000000"/>
              </w:rPr>
            </w:pPr>
            <w:r w:rsidRPr="009141BD">
              <w:rPr>
                <w:color w:val="000000"/>
              </w:rPr>
              <w:t>197,22</w:t>
            </w:r>
            <w:r w:rsidRPr="009141BD">
              <w:rPr>
                <w:rFonts w:hint="eastAsia"/>
                <w:color w:val="000000"/>
              </w:rPr>
              <w:t>2</w:t>
            </w:r>
          </w:p>
        </w:tc>
      </w:tr>
    </w:tbl>
    <w:p w:rsidR="00161123" w:rsidRPr="009373D0" w:rsidRDefault="001C62E7">
      <w:pPr>
        <w:jc w:val="both"/>
        <w:rPr>
          <w:rFonts w:ascii="標楷體" w:eastAsia="標楷體" w:hAnsi="標楷體"/>
        </w:rPr>
      </w:pPr>
      <w:r w:rsidRPr="001C62E7">
        <w:rPr>
          <w:rFonts w:ascii="標楷體" w:eastAsia="標楷體" w:hAnsi="標楷體" w:cs="Arial Unicode MS" w:hint="eastAsia"/>
          <w:b/>
          <w:snapToGrid w:val="0"/>
          <w:kern w:val="0"/>
        </w:rPr>
        <w:t>資料來源：最近</w:t>
      </w:r>
      <w:proofErr w:type="gramStart"/>
      <w:r w:rsidRPr="001C62E7">
        <w:rPr>
          <w:rFonts w:ascii="標楷體" w:eastAsia="標楷體" w:hAnsi="標楷體" w:cs="Arial Unicode MS" w:hint="eastAsia"/>
          <w:b/>
          <w:snapToGrid w:val="0"/>
          <w:kern w:val="0"/>
        </w:rPr>
        <w:t>五</w:t>
      </w:r>
      <w:proofErr w:type="gramEnd"/>
      <w:r w:rsidRPr="001C62E7">
        <w:rPr>
          <w:rFonts w:ascii="標楷體" w:eastAsia="標楷體" w:hAnsi="標楷體" w:cs="Arial Unicode MS" w:hint="eastAsia"/>
          <w:b/>
          <w:snapToGrid w:val="0"/>
          <w:kern w:val="0"/>
        </w:rPr>
        <w:t>年度財務數字係經會計師查核簽證之個體財務報告。</w:t>
      </w:r>
      <w:r w:rsidR="00161123" w:rsidRPr="009373D0">
        <w:rPr>
          <w:rFonts w:ascii="標楷體" w:eastAsia="標楷體" w:hAnsi="標楷體" w:hint="eastAsia"/>
        </w:rPr>
        <w:t xml:space="preserve">                                                                          </w:t>
      </w:r>
      <w:r w:rsidR="006B23B6">
        <w:rPr>
          <w:rFonts w:ascii="標楷體" w:eastAsia="標楷體" w:hAnsi="標楷體" w:hint="eastAsia"/>
          <w:noProof/>
        </w:rPr>
        <w:drawing>
          <wp:inline distT="0" distB="0" distL="0" distR="0">
            <wp:extent cx="410845" cy="150495"/>
            <wp:effectExtent l="0" t="0" r="8255" b="1905"/>
            <wp:docPr id="7" name="圖片 7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Pr="009373D0" w:rsidRDefault="00161123">
      <w:pPr>
        <w:rPr>
          <w:rFonts w:ascii="標楷體" w:eastAsia="標楷體" w:hAnsi="標楷體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 w:rsidRPr="009373D0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bookmarkStart w:id="8" w:name="最近三年度財務比率及股利發放情形"/>
          <w:bookmarkEnd w:id="8"/>
          <w:p w:rsidR="00161123" w:rsidRPr="009373D0" w:rsidRDefault="006B23B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3810" b="190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2" type="#_x0000_t202" style="position:absolute;left:0;text-align:left;margin-left:0;margin-top:-.05pt;width:486pt;height:3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51zgIAANQFAAAOAAAAZHJzL2Uyb0RvYy54bWysVFtv2yAUfp+0/4B4T32RncRWnaptlmlS&#10;d5Haac/ExjYaBg9I7G7af98BnNRb+zBNcyQCnAvnO+c75/Jq7Dg6UqWZFAWOLkKMqChlxURT4M8P&#10;u8UaI22IqAiXghb4kWp8tXn96nLocxrLVvKKKgROhM6HvsCtMX0eBLpsaUf0heypAGEtVUcMHFUT&#10;VIoM4L3jQRyGy2CQquqVLKnWcLv1Qrxx/uualuZjXWtqEC8wxGbcqty6t2uwuSR5o0jfsnIKg/xD&#10;FB1hAh49u9oSQ9BBsWeuOlYqqWVtLkrZBbKuWUkdBkAThX+guW9JTx0WSI7uz2nS/89t+eH4SSFW&#10;Qe0wEqSDEj3Q0aAbOaJsbdMz9DoHrfse9MwI91bVQtX9nSy/aiTkbUtEQ6+VkkNLSQXhRdYymJl6&#10;P9o62Q/vZQXvkIORztFYq846hGwg8A5lejyXxsZSwuUyWsVQb4xKkCVpGEepe4LkJ+teafOWyg7Z&#10;TYEVlN55J8c7bWw0JD+pTIWqdoxzpKT5wkzrcn2C1miwcVoa9RLwhB6xava3XKEjATa92drfFESj&#10;59ppCN9zi537XrSIrMULJs8eARTn4DgTCBJf4DTx5kiXhFNXSw8YiO1A2uC4sKuQFrSX+hvI8ATW&#10;5tpx9kcWxUl4E2eL3XK9WiS7JF1kq3C9CKPsJluGSZZsdz8twCjJW1ZVVNwxQU/9EyV/x8+pkz3z&#10;XQehocBZGqc+d5Kzc/R6nnqH1vUupEPP1TpmYJxw1hV47XMCUEluWflGVG5vCON+H/wevqMI5OD0&#10;77LiOGxp6wlsxv3oumVpy2j5vZfVI5AaWOSYC6MQNq1U3zEaYKwUWH87EEUx4u8EECmLksTOIXdI&#10;0lUMBzWX7OcSIkpwVWCDodB2e2v87Dr0ijUtvORbUchraKaaOZ4/RTW1IIwOh2kac3Y2zc9O62kY&#10;b34BAAD//wMAUEsDBBQABgAIAAAAIQCVtlBf3AAAAAUBAAAPAAAAZHJzL2Rvd25yZXYueG1sTI/N&#10;TsMwEITvSLyDtUjcWqc9kBCyqSpQQfwIibYSVzdekoh4HWI3DW/PcoLjaEYz3xSryXVqpCG0nhEW&#10;8wQUceVtyzXCfreZZaBCNGxN55kQvinAqjw/K0xu/YnfaNzGWkkJh9wgNDH2udahasiZMPc9sXgf&#10;fnAmihxqbQdzknLX6WWSXGlnWpaFxvR021D1uT06hPHx4fV580S0vuP3l93eVenXfYZ4eTGtb0BF&#10;muJfGH7xBR1KYTr4I9ugOgQ5EhFmC1BiXqdL0QeENMlAl4X+T1/+AAAA//8DAFBLAQItABQABgAI&#10;AAAAIQC2gziS/gAAAOEBAAATAAAAAAAAAAAAAAAAAAAAAABbQ29udGVudF9UeXBlc10ueG1sUEsB&#10;Ai0AFAAGAAgAAAAhADj9If/WAAAAlAEAAAsAAAAAAAAAAAAAAAAALwEAAF9yZWxzLy5yZWxzUEsB&#10;Ai0AFAAGAAgAAAAhAJfyznXOAgAA1AUAAA4AAAAAAAAAAAAAAAAALgIAAGRycy9lMm9Eb2MueG1s&#10;UEsBAi0AFAAGAAgAAAAhAJW2UF/cAAAABQEAAA8AAAAAAAAAAAAAAAAAKAUAAGRycy9kb3ducmV2&#10;LnhtbFBLBQYAAAAABAAEAPMAAAAxBgAAAAA=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9373D0">
              <w:rPr>
                <w:rFonts w:ascii="標楷體" w:eastAsia="標楷體" w:hAnsi="標楷體" w:hint="eastAsia"/>
                <w:b/>
                <w:bCs/>
                <w:sz w:val="28"/>
              </w:rPr>
              <w:t>最近</w:t>
            </w:r>
            <w:proofErr w:type="gramStart"/>
            <w:r w:rsidR="00161123" w:rsidRPr="009373D0">
              <w:rPr>
                <w:rFonts w:ascii="標楷體" w:eastAsia="標楷體" w:hAnsi="標楷體" w:hint="eastAsia"/>
                <w:b/>
                <w:bCs/>
                <w:sz w:val="28"/>
              </w:rPr>
              <w:t>三</w:t>
            </w:r>
            <w:proofErr w:type="gramEnd"/>
            <w:r w:rsidR="00161123" w:rsidRPr="009373D0">
              <w:rPr>
                <w:rFonts w:ascii="標楷體" w:eastAsia="標楷體" w:hAnsi="標楷體" w:hint="eastAsia"/>
                <w:b/>
                <w:bCs/>
                <w:sz w:val="28"/>
              </w:rPr>
              <w:t>年度財務比率</w:t>
            </w:r>
          </w:p>
        </w:tc>
      </w:tr>
      <w:tr w:rsidR="0019438A" w:rsidRPr="009373D0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19438A" w:rsidRPr="009373D0" w:rsidRDefault="0019438A">
            <w:pPr>
              <w:wordWrap w:val="0"/>
              <w:ind w:left="57" w:right="57"/>
              <w:jc w:val="right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年</w:t>
            </w:r>
            <w:r w:rsidRPr="009373D0">
              <w:rPr>
                <w:rFonts w:ascii="標楷體" w:eastAsia="標楷體" w:hAnsi="標楷體" w:hint="eastAsia"/>
              </w:rPr>
              <w:t xml:space="preserve">  </w:t>
            </w:r>
            <w:r w:rsidRPr="009373D0">
              <w:rPr>
                <w:rFonts w:ascii="標楷體" w:eastAsia="標楷體" w:hAnsi="標楷體"/>
              </w:rPr>
              <w:t>度</w:t>
            </w:r>
          </w:p>
          <w:p w:rsidR="0019438A" w:rsidRPr="009373D0" w:rsidRDefault="0019438A">
            <w:pPr>
              <w:ind w:firstLineChars="100" w:firstLine="240"/>
              <w:rPr>
                <w:rFonts w:ascii="標楷體" w:eastAsia="標楷體" w:hAnsi="標楷體"/>
              </w:rPr>
            </w:pPr>
            <w:r w:rsidRPr="009373D0">
              <w:rPr>
                <w:rFonts w:ascii="標楷體" w:eastAsia="標楷體" w:hAnsi="標楷體"/>
              </w:rPr>
              <w:t>項</w:t>
            </w:r>
            <w:r w:rsidRPr="009373D0">
              <w:rPr>
                <w:rFonts w:ascii="標楷體" w:eastAsia="標楷體" w:hAnsi="標楷體" w:hint="eastAsia"/>
              </w:rPr>
              <w:t xml:space="preserve">  </w:t>
            </w:r>
            <w:r w:rsidRPr="009373D0">
              <w:rPr>
                <w:rFonts w:ascii="標楷體" w:eastAsia="標楷體" w:hAnsi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9373D0" w:rsidRDefault="001C62E7" w:rsidP="0016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="0019438A" w:rsidRPr="009373D0">
              <w:rPr>
                <w:rFonts w:ascii="標楷體" w:eastAsia="標楷體" w:hAnsi="標楷體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9373D0" w:rsidRDefault="001C62E7" w:rsidP="0016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  <w:r w:rsidR="0019438A" w:rsidRPr="009373D0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9373D0" w:rsidRDefault="001C62E7" w:rsidP="0016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="0019438A" w:rsidRPr="009373D0">
              <w:rPr>
                <w:rFonts w:ascii="標楷體" w:eastAsia="標楷體" w:hAnsi="標楷體" w:hint="eastAsia"/>
              </w:rPr>
              <w:t>年</w:t>
            </w:r>
          </w:p>
        </w:tc>
      </w:tr>
      <w:tr w:rsidR="001C62E7" w:rsidRPr="009373D0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1C62E7" w:rsidRPr="009373D0" w:rsidRDefault="001C62E7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0"/>
              </w:rPr>
            </w:pPr>
            <w:bookmarkStart w:id="9" w:name="財務比率"/>
            <w:bookmarkEnd w:id="9"/>
            <w:r w:rsidRPr="009373D0">
              <w:rPr>
                <w:rFonts w:ascii="標楷體" w:eastAsia="標楷體" w:hAnsi="標楷體"/>
                <w:b/>
                <w:sz w:val="20"/>
              </w:rPr>
              <w:t>財</w:t>
            </w:r>
          </w:p>
          <w:p w:rsidR="001C62E7" w:rsidRPr="009373D0" w:rsidRDefault="001C62E7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9373D0">
              <w:rPr>
                <w:rFonts w:ascii="標楷體" w:eastAsia="標楷體" w:hAnsi="標楷體"/>
                <w:b/>
                <w:sz w:val="20"/>
              </w:rPr>
              <w:t>務</w:t>
            </w:r>
            <w:proofErr w:type="gramEnd"/>
          </w:p>
          <w:p w:rsidR="001C62E7" w:rsidRPr="009373D0" w:rsidRDefault="001C62E7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373D0">
              <w:rPr>
                <w:rFonts w:ascii="標楷體" w:eastAsia="標楷體" w:hAnsi="標楷體"/>
                <w:b/>
                <w:sz w:val="20"/>
              </w:rPr>
              <w:t>比</w:t>
            </w:r>
          </w:p>
          <w:p w:rsidR="001C62E7" w:rsidRPr="009373D0" w:rsidRDefault="001C62E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b/>
                <w:sz w:val="20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毛利率(%)</w:t>
            </w:r>
          </w:p>
        </w:tc>
        <w:tc>
          <w:tcPr>
            <w:tcW w:w="2294" w:type="dxa"/>
          </w:tcPr>
          <w:p w:rsidR="001C62E7" w:rsidRPr="00CE095D" w:rsidRDefault="001C62E7" w:rsidP="001C62E7">
            <w:pPr>
              <w:ind w:rightChars="62" w:right="149"/>
              <w:jc w:val="right"/>
            </w:pPr>
            <w:r w:rsidRPr="00CE095D">
              <w:t>27.22</w:t>
            </w:r>
          </w:p>
        </w:tc>
        <w:tc>
          <w:tcPr>
            <w:tcW w:w="2160" w:type="dxa"/>
          </w:tcPr>
          <w:p w:rsidR="001C62E7" w:rsidRPr="00CE095D" w:rsidRDefault="001C62E7" w:rsidP="001C62E7">
            <w:pPr>
              <w:ind w:rightChars="62" w:right="149"/>
              <w:jc w:val="right"/>
            </w:pPr>
            <w:r w:rsidRPr="00CE095D">
              <w:t>25.81</w:t>
            </w:r>
          </w:p>
        </w:tc>
        <w:tc>
          <w:tcPr>
            <w:tcW w:w="2160" w:type="dxa"/>
          </w:tcPr>
          <w:p w:rsidR="001C62E7" w:rsidRDefault="001C62E7" w:rsidP="001C62E7">
            <w:pPr>
              <w:ind w:rightChars="62" w:right="149"/>
              <w:jc w:val="right"/>
            </w:pPr>
            <w:r w:rsidRPr="00CE095D">
              <w:t>28.03</w:t>
            </w:r>
          </w:p>
        </w:tc>
      </w:tr>
      <w:tr w:rsidR="001C62E7" w:rsidRPr="009373D0" w:rsidTr="00617EF7">
        <w:trPr>
          <w:cantSplit/>
        </w:trPr>
        <w:tc>
          <w:tcPr>
            <w:tcW w:w="568" w:type="dxa"/>
            <w:vMerge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流動比率(%)</w:t>
            </w:r>
          </w:p>
        </w:tc>
        <w:tc>
          <w:tcPr>
            <w:tcW w:w="2294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153.15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196.41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244.92</w:t>
            </w:r>
          </w:p>
        </w:tc>
      </w:tr>
      <w:tr w:rsidR="001C62E7" w:rsidRPr="009373D0" w:rsidTr="00617EF7">
        <w:trPr>
          <w:cantSplit/>
        </w:trPr>
        <w:tc>
          <w:tcPr>
            <w:tcW w:w="568" w:type="dxa"/>
            <w:vMerge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應收帳款</w:t>
            </w:r>
            <w:r w:rsidRPr="009373D0">
              <w:rPr>
                <w:rFonts w:ascii="標楷體" w:eastAsia="標楷體" w:hAnsi="標楷體" w:hint="eastAsia"/>
                <w:sz w:val="20"/>
              </w:rPr>
              <w:t>天數</w:t>
            </w:r>
            <w:r w:rsidRPr="009373D0">
              <w:rPr>
                <w:rFonts w:ascii="標楷體" w:eastAsia="標楷體" w:hAnsi="標楷體"/>
                <w:sz w:val="20"/>
              </w:rPr>
              <w:t>(</w:t>
            </w:r>
            <w:r w:rsidRPr="009373D0">
              <w:rPr>
                <w:rFonts w:ascii="標楷體" w:eastAsia="標楷體" w:hAnsi="標楷體" w:hint="eastAsia"/>
                <w:sz w:val="20"/>
              </w:rPr>
              <w:t>天</w:t>
            </w:r>
            <w:r w:rsidRPr="009373D0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94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56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62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61</w:t>
            </w:r>
          </w:p>
        </w:tc>
      </w:tr>
      <w:tr w:rsidR="001C62E7" w:rsidRPr="009373D0" w:rsidTr="00617EF7">
        <w:trPr>
          <w:cantSplit/>
        </w:trPr>
        <w:tc>
          <w:tcPr>
            <w:tcW w:w="568" w:type="dxa"/>
            <w:vMerge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存貨週轉</w:t>
            </w:r>
            <w:r w:rsidRPr="009373D0">
              <w:rPr>
                <w:rFonts w:ascii="標楷體" w:eastAsia="標楷體" w:hAnsi="標楷體" w:hint="eastAsia"/>
                <w:sz w:val="20"/>
              </w:rPr>
              <w:t>天數</w:t>
            </w:r>
            <w:r w:rsidRPr="009373D0">
              <w:rPr>
                <w:rFonts w:ascii="標楷體" w:eastAsia="標楷體" w:hAnsi="標楷體"/>
                <w:sz w:val="20"/>
              </w:rPr>
              <w:t>(</w:t>
            </w:r>
            <w:r w:rsidRPr="009373D0">
              <w:rPr>
                <w:rFonts w:ascii="標楷體" w:eastAsia="標楷體" w:hAnsi="標楷體" w:hint="eastAsia"/>
                <w:sz w:val="20"/>
              </w:rPr>
              <w:t>天</w:t>
            </w:r>
            <w:r w:rsidRPr="009373D0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94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35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50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57</w:t>
            </w:r>
          </w:p>
        </w:tc>
      </w:tr>
      <w:tr w:rsidR="001C62E7" w:rsidRPr="009373D0" w:rsidTr="00617EF7">
        <w:trPr>
          <w:cantSplit/>
        </w:trPr>
        <w:tc>
          <w:tcPr>
            <w:tcW w:w="568" w:type="dxa"/>
            <w:vMerge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1C62E7" w:rsidRPr="009373D0" w:rsidRDefault="001C62E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73D0">
              <w:rPr>
                <w:rFonts w:ascii="標楷體" w:eastAsia="標楷體" w:hAnsi="標楷體"/>
                <w:sz w:val="20"/>
              </w:rPr>
              <w:t>負債比率(%)</w:t>
            </w:r>
          </w:p>
        </w:tc>
        <w:tc>
          <w:tcPr>
            <w:tcW w:w="2294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54.63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45.22</w:t>
            </w:r>
          </w:p>
        </w:tc>
        <w:tc>
          <w:tcPr>
            <w:tcW w:w="2160" w:type="dxa"/>
            <w:vAlign w:val="center"/>
          </w:tcPr>
          <w:p w:rsidR="001C62E7" w:rsidRPr="001C62E7" w:rsidRDefault="001C62E7" w:rsidP="001C62E7">
            <w:pPr>
              <w:ind w:rightChars="62" w:right="149"/>
              <w:jc w:val="right"/>
            </w:pPr>
            <w:r w:rsidRPr="001C62E7">
              <w:rPr>
                <w:rFonts w:hint="eastAsia"/>
              </w:rPr>
              <w:t>38.36</w:t>
            </w:r>
          </w:p>
        </w:tc>
      </w:tr>
    </w:tbl>
    <w:p w:rsidR="00161123" w:rsidRPr="009373D0" w:rsidRDefault="001C62E7">
      <w:pPr>
        <w:jc w:val="both"/>
        <w:rPr>
          <w:rFonts w:ascii="標楷體" w:eastAsia="標楷體" w:hAnsi="標楷體"/>
        </w:rPr>
      </w:pPr>
      <w:r w:rsidRPr="001C62E7">
        <w:rPr>
          <w:rFonts w:ascii="標楷體" w:eastAsia="標楷體" w:hAnsi="標楷體" w:cs="Arial Unicode MS" w:hint="eastAsia"/>
          <w:kern w:val="0"/>
        </w:rPr>
        <w:t>資料來源：最近</w:t>
      </w:r>
      <w:proofErr w:type="gramStart"/>
      <w:r w:rsidRPr="001C62E7">
        <w:rPr>
          <w:rFonts w:ascii="標楷體" w:eastAsia="標楷體" w:hAnsi="標楷體" w:cs="Arial Unicode MS" w:hint="eastAsia"/>
          <w:kern w:val="0"/>
        </w:rPr>
        <w:t>五</w:t>
      </w:r>
      <w:proofErr w:type="gramEnd"/>
      <w:r w:rsidRPr="001C62E7">
        <w:rPr>
          <w:rFonts w:ascii="標楷體" w:eastAsia="標楷體" w:hAnsi="標楷體" w:cs="Arial Unicode MS" w:hint="eastAsia"/>
          <w:kern w:val="0"/>
        </w:rPr>
        <w:t>年度財務數字係經會計師查核簽證之個體財務報告。</w:t>
      </w:r>
      <w:r w:rsidR="00161123" w:rsidRPr="009373D0"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="006B23B6">
        <w:rPr>
          <w:rFonts w:ascii="標楷體" w:eastAsia="標楷體" w:hAnsi="標楷體" w:hint="eastAsia"/>
          <w:noProof/>
        </w:rPr>
        <w:drawing>
          <wp:inline distT="0" distB="0" distL="0" distR="0">
            <wp:extent cx="410845" cy="150495"/>
            <wp:effectExtent l="0" t="0" r="8255" b="1905"/>
            <wp:docPr id="8" name="圖片 8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rFonts w:ascii="標楷體" w:eastAsia="標楷體" w:hAnsi="標楷體"/>
          <w:color w:val="FF6600"/>
          <w:sz w:val="20"/>
          <w:szCs w:val="20"/>
        </w:rPr>
      </w:pPr>
      <w:r w:rsidRPr="009373D0">
        <w:rPr>
          <w:rFonts w:ascii="標楷體" w:eastAsia="標楷體" w:hAnsi="標楷體"/>
          <w:color w:val="FF6600"/>
          <w:sz w:val="20"/>
          <w:szCs w:val="20"/>
        </w:rPr>
        <w:t>投資人若欲查詢該公司更詳細之資料請連結至</w:t>
      </w:r>
      <w:hyperlink r:id="rId16" w:history="1">
        <w:r w:rsidRPr="009373D0">
          <w:rPr>
            <w:rStyle w:val="a6"/>
            <w:rFonts w:ascii="標楷體" w:eastAsia="標楷體" w:hAnsi="標楷體" w:hint="eastAsia"/>
            <w:b/>
            <w:color w:val="3366FF"/>
            <w:sz w:val="20"/>
            <w:szCs w:val="20"/>
          </w:rPr>
          <w:t>公開資訊觀測站</w:t>
        </w:r>
      </w:hyperlink>
      <w:r w:rsidRPr="009373D0">
        <w:rPr>
          <w:rFonts w:ascii="標楷體" w:eastAsia="標楷體" w:hAnsi="標楷體"/>
          <w:color w:val="FF6600"/>
          <w:sz w:val="20"/>
          <w:szCs w:val="20"/>
        </w:rPr>
        <w:t>!!</w:t>
      </w:r>
    </w:p>
    <w:sectPr w:rsidR="00161123">
      <w:footerReference w:type="even" r:id="rId17"/>
      <w:footerReference w:type="default" r:id="rId18"/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0D" w:rsidRDefault="00C9380D">
      <w:r>
        <w:separator/>
      </w:r>
    </w:p>
  </w:endnote>
  <w:endnote w:type="continuationSeparator" w:id="0">
    <w:p w:rsidR="00C9380D" w:rsidRDefault="00C9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AD7">
      <w:rPr>
        <w:rStyle w:val="ad"/>
        <w:noProof/>
      </w:rPr>
      <w:t>3</w: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0D" w:rsidRDefault="00C9380D">
      <w:r>
        <w:separator/>
      </w:r>
    </w:p>
  </w:footnote>
  <w:footnote w:type="continuationSeparator" w:id="0">
    <w:p w:rsidR="00C9380D" w:rsidRDefault="00C9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6pt;height:12.9pt" o:bullet="t">
        <v:imagedata r:id="rId1" o:title="icon_page_title"/>
      </v:shape>
    </w:pict>
  </w:numPicBullet>
  <w:abstractNum w:abstractNumId="0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43979DF"/>
    <w:multiLevelType w:val="hybridMultilevel"/>
    <w:tmpl w:val="81F06142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A1F18"/>
    <w:rsid w:val="000C558E"/>
    <w:rsid w:val="000C7ED7"/>
    <w:rsid w:val="000D7285"/>
    <w:rsid w:val="001063F0"/>
    <w:rsid w:val="001120B0"/>
    <w:rsid w:val="001175E9"/>
    <w:rsid w:val="001217B1"/>
    <w:rsid w:val="00161123"/>
    <w:rsid w:val="0019438A"/>
    <w:rsid w:val="001C62E7"/>
    <w:rsid w:val="0020043D"/>
    <w:rsid w:val="0021224D"/>
    <w:rsid w:val="0024758D"/>
    <w:rsid w:val="00270437"/>
    <w:rsid w:val="00292159"/>
    <w:rsid w:val="002B01BF"/>
    <w:rsid w:val="002C1E65"/>
    <w:rsid w:val="002F73CE"/>
    <w:rsid w:val="00342408"/>
    <w:rsid w:val="00345AD7"/>
    <w:rsid w:val="00346FDC"/>
    <w:rsid w:val="0036208E"/>
    <w:rsid w:val="00377BCA"/>
    <w:rsid w:val="00385C47"/>
    <w:rsid w:val="003F6EE9"/>
    <w:rsid w:val="00450F2B"/>
    <w:rsid w:val="004C7511"/>
    <w:rsid w:val="004E4C38"/>
    <w:rsid w:val="005071DA"/>
    <w:rsid w:val="0052743E"/>
    <w:rsid w:val="00527652"/>
    <w:rsid w:val="00553CD3"/>
    <w:rsid w:val="005764CC"/>
    <w:rsid w:val="005E4E4A"/>
    <w:rsid w:val="00611233"/>
    <w:rsid w:val="00617EF7"/>
    <w:rsid w:val="00641546"/>
    <w:rsid w:val="0064711C"/>
    <w:rsid w:val="00661BDB"/>
    <w:rsid w:val="0066211D"/>
    <w:rsid w:val="00687343"/>
    <w:rsid w:val="00691F9C"/>
    <w:rsid w:val="006A1F4F"/>
    <w:rsid w:val="006B0756"/>
    <w:rsid w:val="006B23B6"/>
    <w:rsid w:val="006C71C7"/>
    <w:rsid w:val="00724899"/>
    <w:rsid w:val="007609BE"/>
    <w:rsid w:val="00802465"/>
    <w:rsid w:val="008278A0"/>
    <w:rsid w:val="00867D0D"/>
    <w:rsid w:val="00872013"/>
    <w:rsid w:val="008A0F4C"/>
    <w:rsid w:val="0091765E"/>
    <w:rsid w:val="009373D0"/>
    <w:rsid w:val="00973859"/>
    <w:rsid w:val="0097783D"/>
    <w:rsid w:val="009C5A82"/>
    <w:rsid w:val="00A24330"/>
    <w:rsid w:val="00A277D2"/>
    <w:rsid w:val="00A37899"/>
    <w:rsid w:val="00A41A47"/>
    <w:rsid w:val="00AB0275"/>
    <w:rsid w:val="00B40A0A"/>
    <w:rsid w:val="00B60E3B"/>
    <w:rsid w:val="00B60F0D"/>
    <w:rsid w:val="00B66D62"/>
    <w:rsid w:val="00B92320"/>
    <w:rsid w:val="00BD0A41"/>
    <w:rsid w:val="00BE08F6"/>
    <w:rsid w:val="00BF2B97"/>
    <w:rsid w:val="00C05C12"/>
    <w:rsid w:val="00C53C9E"/>
    <w:rsid w:val="00C57B0A"/>
    <w:rsid w:val="00C62170"/>
    <w:rsid w:val="00C8105A"/>
    <w:rsid w:val="00C9380D"/>
    <w:rsid w:val="00C96E93"/>
    <w:rsid w:val="00CA6A71"/>
    <w:rsid w:val="00CF14F2"/>
    <w:rsid w:val="00D00024"/>
    <w:rsid w:val="00D22FA1"/>
    <w:rsid w:val="00D364AD"/>
    <w:rsid w:val="00DA3592"/>
    <w:rsid w:val="00DA75FC"/>
    <w:rsid w:val="00DE5C82"/>
    <w:rsid w:val="00E36585"/>
    <w:rsid w:val="00EE4C00"/>
    <w:rsid w:val="00EF10AF"/>
    <w:rsid w:val="00F23D95"/>
    <w:rsid w:val="00F97EB6"/>
    <w:rsid w:val="00FD1CF9"/>
    <w:rsid w:val="00FD3193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57B0A"/>
    <w:pPr>
      <w:ind w:leftChars="200" w:left="480"/>
    </w:pPr>
  </w:style>
  <w:style w:type="character" w:customStyle="1" w:styleId="10">
    <w:name w:val="日期1"/>
    <w:rsid w:val="002B01BF"/>
  </w:style>
  <w:style w:type="paragraph" w:styleId="af2">
    <w:name w:val="Block Text"/>
    <w:basedOn w:val="a"/>
    <w:uiPriority w:val="99"/>
    <w:semiHidden/>
    <w:unhideWhenUsed/>
    <w:rsid w:val="00C53C9E"/>
    <w:pPr>
      <w:widowControl/>
      <w:spacing w:beforeLines="50" w:line="400" w:lineRule="exact"/>
      <w:ind w:leftChars="180" w:left="504" w:rightChars="-6" w:right="-17" w:firstLine="538"/>
      <w:jc w:val="both"/>
    </w:pPr>
    <w:rPr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57B0A"/>
    <w:pPr>
      <w:ind w:leftChars="200" w:left="480"/>
    </w:pPr>
  </w:style>
  <w:style w:type="character" w:customStyle="1" w:styleId="10">
    <w:name w:val="日期1"/>
    <w:rsid w:val="002B01BF"/>
  </w:style>
  <w:style w:type="paragraph" w:styleId="af2">
    <w:name w:val="Block Text"/>
    <w:basedOn w:val="a"/>
    <w:uiPriority w:val="99"/>
    <w:semiHidden/>
    <w:unhideWhenUsed/>
    <w:rsid w:val="00C53C9E"/>
    <w:pPr>
      <w:widowControl/>
      <w:spacing w:beforeLines="50" w:line="400" w:lineRule="exact"/>
      <w:ind w:leftChars="180" w:left="504" w:rightChars="-6" w:right="-17" w:firstLine="538"/>
      <w:jc w:val="both"/>
    </w:pPr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ewmops.tse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&#31532;&#19968;&#38913;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1D69-A3F3-4C1D-8F61-65B0480A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1076</Words>
  <Characters>6138</Characters>
  <Application>Microsoft Office Word</Application>
  <DocSecurity>0</DocSecurity>
  <Lines>51</Lines>
  <Paragraphs>14</Paragraphs>
  <ScaleCrop>false</ScaleCrop>
  <Company>abc</Company>
  <LinksUpToDate>false</LinksUpToDate>
  <CharactersWithSpaces>7200</CharactersWithSpaces>
  <SharedDoc>false</SharedDoc>
  <HLinks>
    <vt:vector size="60" baseType="variant"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馬靖涵</cp:lastModifiedBy>
  <cp:revision>4</cp:revision>
  <cp:lastPrinted>2011-08-04T07:44:00Z</cp:lastPrinted>
  <dcterms:created xsi:type="dcterms:W3CDTF">2015-12-30T06:20:00Z</dcterms:created>
  <dcterms:modified xsi:type="dcterms:W3CDTF">2015-12-30T07:06:00Z</dcterms:modified>
</cp:coreProperties>
</file>